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EDF79">
      <w:pPr>
        <w:pStyle w:val="12"/>
        <w:spacing w:before="936" w:beforeLines="300" w:line="360" w:lineRule="auto"/>
        <w:jc w:val="center"/>
        <w:rPr>
          <w:rFonts w:ascii="黑体" w:hAnsi="黑体" w:eastAsia="黑体" w:cs="黑体"/>
          <w:b/>
          <w:bCs/>
          <w:spacing w:val="20"/>
          <w:sz w:val="48"/>
          <w:szCs w:val="48"/>
        </w:rPr>
      </w:pPr>
      <w:bookmarkStart w:id="0" w:name="OLE_LINK6"/>
      <w:r>
        <w:rPr>
          <w:rFonts w:hint="eastAsia" w:hAnsi="宋体" w:cs="宋体"/>
          <w:b/>
          <w:bCs/>
          <w:spacing w:val="20"/>
          <w:sz w:val="48"/>
          <w:szCs w:val="48"/>
        </w:rPr>
        <w:t>西南林业大学机械与交通学院基于智慧树教学平台的机械类智慧课程教学资源库建设服务</w:t>
      </w:r>
    </w:p>
    <w:p w14:paraId="073813BF">
      <w:pPr>
        <w:pStyle w:val="18"/>
        <w:spacing w:before="624" w:beforeLines="200" w:line="360" w:lineRule="auto"/>
        <w:jc w:val="center"/>
        <w:rPr>
          <w:rFonts w:hint="eastAsia" w:eastAsia="宋体"/>
          <w:lang w:eastAsia="zh-CN"/>
        </w:rPr>
      </w:pPr>
      <w:bookmarkStart w:id="1" w:name="OLE_LINK3"/>
      <w:bookmarkStart w:id="2" w:name="_Toc1387"/>
      <w:r>
        <w:rPr>
          <w:rFonts w:hint="eastAsia" w:hAnsi="宋体" w:cs="宋体"/>
          <w:b/>
          <w:bCs/>
          <w:sz w:val="36"/>
          <w:szCs w:val="36"/>
        </w:rPr>
        <w:t>项目编号：</w:t>
      </w:r>
      <w:bookmarkEnd w:id="1"/>
      <w:bookmarkEnd w:id="2"/>
      <w:r>
        <w:rPr>
          <w:rFonts w:hint="eastAsia" w:hAnsi="宋体" w:cs="宋体"/>
          <w:b/>
          <w:bCs/>
          <w:sz w:val="36"/>
          <w:szCs w:val="36"/>
          <w:lang w:eastAsia="zh-CN"/>
        </w:rPr>
        <w:t>YNZC2026-D3-03520-YNZZ-0337</w:t>
      </w:r>
    </w:p>
    <w:p w14:paraId="66E541D0">
      <w:pPr>
        <w:spacing w:before="1560" w:beforeLines="500" w:after="1560" w:afterLines="500"/>
        <w:jc w:val="center"/>
        <w:rPr>
          <w:rFonts w:ascii="华文中宋" w:hAnsi="华文中宋" w:eastAsia="华文中宋" w:cs="华文中宋"/>
          <w:b/>
          <w:sz w:val="96"/>
          <w:szCs w:val="96"/>
        </w:rPr>
      </w:pPr>
      <w:bookmarkStart w:id="3" w:name="_Toc22868"/>
      <w:bookmarkStart w:id="4" w:name="OLE_LINK5"/>
      <w:r>
        <w:rPr>
          <w:rFonts w:hint="eastAsia" w:ascii="华文中宋" w:hAnsi="华文中宋" w:eastAsia="华文中宋" w:cs="华文中宋"/>
          <w:b/>
          <w:sz w:val="96"/>
          <w:szCs w:val="96"/>
        </w:rPr>
        <w:t>单一来源采购文件</w:t>
      </w:r>
      <w:bookmarkEnd w:id="3"/>
    </w:p>
    <w:bookmarkEnd w:id="4"/>
    <w:p w14:paraId="17B1F3B5">
      <w:pPr>
        <w:spacing w:line="480" w:lineRule="auto"/>
        <w:jc w:val="center"/>
        <w:rPr>
          <w:rFonts w:ascii="华文中宋" w:hAnsi="华文中宋" w:eastAsia="华文中宋" w:cs="华文中宋"/>
          <w:b/>
          <w:bCs/>
          <w:sz w:val="36"/>
          <w:szCs w:val="36"/>
        </w:rPr>
      </w:pPr>
      <w:bookmarkStart w:id="5" w:name="_Toc3735"/>
      <w:bookmarkStart w:id="6" w:name="OLE_LINK8"/>
    </w:p>
    <w:p w14:paraId="2F38C652">
      <w:pPr>
        <w:pStyle w:val="2"/>
        <w:rPr>
          <w:rFonts w:ascii="华文中宋" w:hAnsi="华文中宋" w:eastAsia="华文中宋" w:cs="华文中宋"/>
          <w:b/>
          <w:sz w:val="36"/>
          <w:szCs w:val="36"/>
        </w:rPr>
      </w:pPr>
    </w:p>
    <w:p w14:paraId="206906DE"/>
    <w:p w14:paraId="43EA8298">
      <w:pPr>
        <w:spacing w:line="480" w:lineRule="auto"/>
        <w:jc w:val="center"/>
        <w:rPr>
          <w:rFonts w:ascii="华文中宋" w:hAnsi="华文中宋" w:eastAsia="华文中宋" w:cs="华文中宋"/>
          <w:b/>
          <w:bCs/>
          <w:sz w:val="36"/>
          <w:szCs w:val="36"/>
        </w:rPr>
      </w:pPr>
    </w:p>
    <w:p w14:paraId="67EBE1F0">
      <w:pPr>
        <w:spacing w:line="480" w:lineRule="auto"/>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采购人：</w:t>
      </w:r>
      <w:bookmarkEnd w:id="5"/>
      <w:r>
        <w:rPr>
          <w:rFonts w:hint="eastAsia" w:ascii="华文中宋" w:hAnsi="华文中宋" w:eastAsia="华文中宋" w:cs="华文中宋"/>
          <w:b/>
          <w:bCs/>
          <w:sz w:val="36"/>
          <w:szCs w:val="36"/>
        </w:rPr>
        <w:t>西南林业大学</w:t>
      </w:r>
    </w:p>
    <w:p w14:paraId="0DB9DB02">
      <w:pPr>
        <w:spacing w:line="480" w:lineRule="auto"/>
        <w:jc w:val="center"/>
        <w:rPr>
          <w:rFonts w:ascii="华文中宋" w:hAnsi="华文中宋" w:eastAsia="华文中宋" w:cs="华文中宋"/>
          <w:b/>
          <w:bCs/>
          <w:sz w:val="36"/>
          <w:szCs w:val="36"/>
        </w:rPr>
      </w:pPr>
      <w:bookmarkStart w:id="7" w:name="_Toc9413"/>
      <w:r>
        <w:rPr>
          <w:rFonts w:hint="eastAsia" w:ascii="华文中宋" w:hAnsi="华文中宋" w:eastAsia="华文中宋" w:cs="华文中宋"/>
          <w:b/>
          <w:bCs/>
          <w:sz w:val="36"/>
          <w:szCs w:val="36"/>
        </w:rPr>
        <w:t>采购代理机构：云南中咨海外咨询有限公司</w:t>
      </w:r>
      <w:bookmarkEnd w:id="7"/>
    </w:p>
    <w:p w14:paraId="1F0F4DF6">
      <w:pPr>
        <w:spacing w:line="480" w:lineRule="auto"/>
        <w:jc w:val="center"/>
        <w:rPr>
          <w:rFonts w:ascii="华文中宋" w:hAnsi="华文中宋" w:eastAsia="华文中宋" w:cs="华文中宋"/>
          <w:b/>
          <w:bCs/>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40" w:right="1440" w:bottom="1440" w:left="1440" w:header="510" w:footer="680" w:gutter="0"/>
          <w:pgNumType w:start="0"/>
          <w:cols w:space="0" w:num="1"/>
          <w:titlePg/>
          <w:docGrid w:type="linesAndChars" w:linePitch="312" w:charSpace="0"/>
        </w:sectPr>
      </w:pPr>
      <w:bookmarkStart w:id="8" w:name="OLE_LINK9"/>
      <w:bookmarkStart w:id="9" w:name="OLE_LINK260"/>
      <w:bookmarkStart w:id="10" w:name="_Toc9604"/>
      <w:r>
        <w:rPr>
          <w:rFonts w:hint="eastAsia" w:ascii="华文中宋" w:hAnsi="华文中宋" w:eastAsia="华文中宋" w:cs="华文中宋"/>
          <w:b/>
          <w:bCs/>
          <w:sz w:val="36"/>
          <w:szCs w:val="36"/>
        </w:rPr>
        <w:t>日期：</w:t>
      </w:r>
      <w:bookmarkEnd w:id="8"/>
      <w:r>
        <w:rPr>
          <w:rFonts w:hint="eastAsia" w:ascii="华文中宋" w:hAnsi="华文中宋" w:eastAsia="华文中宋" w:cs="华文中宋"/>
          <w:b/>
          <w:bCs/>
          <w:sz w:val="36"/>
          <w:szCs w:val="36"/>
        </w:rPr>
        <w:t>二○二</w:t>
      </w:r>
      <w:bookmarkStart w:id="11" w:name="OLE_LINK118"/>
      <w:r>
        <w:rPr>
          <w:rFonts w:hint="eastAsia" w:ascii="华文中宋" w:hAnsi="华文中宋" w:eastAsia="华文中宋" w:cs="华文中宋"/>
          <w:b/>
          <w:bCs/>
          <w:sz w:val="36"/>
          <w:szCs w:val="36"/>
        </w:rPr>
        <w:t>六年</w:t>
      </w:r>
      <w:bookmarkEnd w:id="6"/>
      <w:bookmarkEnd w:id="9"/>
      <w:bookmarkEnd w:id="11"/>
      <w:r>
        <w:rPr>
          <w:rFonts w:hint="eastAsia" w:ascii="华文中宋" w:hAnsi="华文中宋" w:eastAsia="华文中宋" w:cs="华文中宋"/>
          <w:b/>
          <w:bCs/>
          <w:sz w:val="36"/>
          <w:szCs w:val="36"/>
        </w:rPr>
        <w:t>六月</w:t>
      </w:r>
      <w:bookmarkEnd w:id="10"/>
    </w:p>
    <w:bookmarkEnd w:id="0"/>
    <w:p w14:paraId="7156DC0D">
      <w:pPr>
        <w:spacing w:line="720" w:lineRule="auto"/>
        <w:jc w:val="center"/>
        <w:rPr>
          <w:rFonts w:ascii="黑体" w:hAnsi="黑体" w:eastAsia="黑体" w:cs="黑体"/>
          <w:b/>
          <w:bCs/>
          <w:sz w:val="36"/>
          <w:szCs w:val="36"/>
        </w:rPr>
      </w:pPr>
      <w:bookmarkStart w:id="12" w:name="OLE_LINK127"/>
      <w:bookmarkStart w:id="13" w:name="OLE_LINK129"/>
      <w:r>
        <w:rPr>
          <w:rFonts w:hint="eastAsia" w:ascii="黑体" w:hAnsi="黑体" w:eastAsia="黑体" w:cs="黑体"/>
          <w:b/>
          <w:bCs/>
          <w:sz w:val="36"/>
          <w:szCs w:val="36"/>
        </w:rPr>
        <w:t>目  录</w:t>
      </w:r>
    </w:p>
    <w:p w14:paraId="686CF050">
      <w:pPr>
        <w:pStyle w:val="25"/>
        <w:tabs>
          <w:tab w:val="right" w:leader="dot" w:pos="8306"/>
        </w:tabs>
        <w:spacing w:line="480" w:lineRule="auto"/>
        <w:rPr>
          <w:b/>
          <w:bCs/>
          <w:sz w:val="24"/>
          <w:szCs w:val="32"/>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TOC \o "1-1" \h \u </w:instrText>
      </w:r>
      <w:r>
        <w:rPr>
          <w:rFonts w:hint="eastAsia" w:ascii="黑体" w:hAnsi="黑体" w:eastAsia="黑体" w:cs="黑体"/>
          <w:b/>
          <w:bCs/>
          <w:sz w:val="28"/>
          <w:szCs w:val="28"/>
        </w:rPr>
        <w:fldChar w:fldCharType="separate"/>
      </w:r>
      <w:r>
        <w:fldChar w:fldCharType="begin"/>
      </w:r>
      <w:r>
        <w:instrText xml:space="preserve"> HYPERLINK \l "_Toc29112" </w:instrText>
      </w:r>
      <w:r>
        <w:fldChar w:fldCharType="separate"/>
      </w:r>
      <w:r>
        <w:rPr>
          <w:rFonts w:hint="eastAsia" w:ascii="黑体" w:hAnsi="黑体" w:eastAsia="黑体" w:cs="黑体"/>
          <w:b/>
          <w:bCs/>
          <w:kern w:val="44"/>
          <w:sz w:val="24"/>
          <w:szCs w:val="40"/>
        </w:rPr>
        <w:t>第一章  单一来源采购邀请书</w:t>
      </w:r>
      <w:r>
        <w:rPr>
          <w:b/>
          <w:bCs/>
          <w:sz w:val="24"/>
          <w:szCs w:val="32"/>
        </w:rPr>
        <w:tab/>
      </w:r>
      <w:r>
        <w:rPr>
          <w:b/>
          <w:bCs/>
          <w:sz w:val="24"/>
          <w:szCs w:val="32"/>
        </w:rPr>
        <w:fldChar w:fldCharType="begin"/>
      </w:r>
      <w:r>
        <w:rPr>
          <w:b/>
          <w:bCs/>
          <w:sz w:val="24"/>
          <w:szCs w:val="32"/>
        </w:rPr>
        <w:instrText xml:space="preserve"> PAGEREF _Toc29112 \h </w:instrText>
      </w:r>
      <w:r>
        <w:rPr>
          <w:b/>
          <w:bCs/>
          <w:sz w:val="24"/>
          <w:szCs w:val="32"/>
        </w:rPr>
        <w:fldChar w:fldCharType="separate"/>
      </w:r>
      <w:r>
        <w:rPr>
          <w:b/>
          <w:bCs/>
          <w:sz w:val="24"/>
          <w:szCs w:val="32"/>
        </w:rPr>
        <w:t>1</w:t>
      </w:r>
      <w:r>
        <w:rPr>
          <w:b/>
          <w:bCs/>
          <w:sz w:val="24"/>
          <w:szCs w:val="32"/>
        </w:rPr>
        <w:fldChar w:fldCharType="end"/>
      </w:r>
      <w:r>
        <w:rPr>
          <w:b/>
          <w:bCs/>
          <w:sz w:val="24"/>
          <w:szCs w:val="32"/>
        </w:rPr>
        <w:fldChar w:fldCharType="end"/>
      </w:r>
    </w:p>
    <w:p w14:paraId="5A9182B4">
      <w:pPr>
        <w:pStyle w:val="25"/>
        <w:tabs>
          <w:tab w:val="right" w:leader="dot" w:pos="8306"/>
        </w:tabs>
        <w:spacing w:line="480" w:lineRule="auto"/>
        <w:rPr>
          <w:b/>
          <w:bCs/>
          <w:sz w:val="24"/>
          <w:szCs w:val="32"/>
        </w:rPr>
      </w:pPr>
      <w:r>
        <w:fldChar w:fldCharType="begin"/>
      </w:r>
      <w:r>
        <w:instrText xml:space="preserve"> HYPERLINK \l "_Toc6737" </w:instrText>
      </w:r>
      <w:r>
        <w:fldChar w:fldCharType="separate"/>
      </w:r>
      <w:r>
        <w:rPr>
          <w:rFonts w:hint="eastAsia" w:ascii="黑体" w:hAnsi="黑体" w:eastAsia="黑体" w:cs="黑体"/>
          <w:b/>
          <w:bCs/>
          <w:kern w:val="44"/>
          <w:sz w:val="24"/>
          <w:szCs w:val="40"/>
        </w:rPr>
        <w:t>第二章  供应商须知</w:t>
      </w:r>
      <w:r>
        <w:rPr>
          <w:b/>
          <w:bCs/>
          <w:sz w:val="24"/>
          <w:szCs w:val="32"/>
        </w:rPr>
        <w:tab/>
      </w:r>
      <w:r>
        <w:rPr>
          <w:b/>
          <w:bCs/>
          <w:sz w:val="24"/>
          <w:szCs w:val="32"/>
        </w:rPr>
        <w:fldChar w:fldCharType="begin"/>
      </w:r>
      <w:r>
        <w:rPr>
          <w:b/>
          <w:bCs/>
          <w:sz w:val="24"/>
          <w:szCs w:val="32"/>
        </w:rPr>
        <w:instrText xml:space="preserve"> PAGEREF _Toc6737 \h </w:instrText>
      </w:r>
      <w:r>
        <w:rPr>
          <w:b/>
          <w:bCs/>
          <w:sz w:val="24"/>
          <w:szCs w:val="32"/>
        </w:rPr>
        <w:fldChar w:fldCharType="separate"/>
      </w:r>
      <w:r>
        <w:rPr>
          <w:b/>
          <w:bCs/>
          <w:sz w:val="24"/>
          <w:szCs w:val="32"/>
        </w:rPr>
        <w:t>6</w:t>
      </w:r>
      <w:r>
        <w:rPr>
          <w:b/>
          <w:bCs/>
          <w:sz w:val="24"/>
          <w:szCs w:val="32"/>
        </w:rPr>
        <w:fldChar w:fldCharType="end"/>
      </w:r>
      <w:r>
        <w:rPr>
          <w:b/>
          <w:bCs/>
          <w:sz w:val="24"/>
          <w:szCs w:val="32"/>
        </w:rPr>
        <w:fldChar w:fldCharType="end"/>
      </w:r>
    </w:p>
    <w:p w14:paraId="16FDD7D5">
      <w:pPr>
        <w:pStyle w:val="25"/>
        <w:tabs>
          <w:tab w:val="right" w:leader="dot" w:pos="8306"/>
        </w:tabs>
        <w:spacing w:line="480" w:lineRule="auto"/>
        <w:rPr>
          <w:b/>
          <w:bCs/>
          <w:sz w:val="24"/>
          <w:szCs w:val="32"/>
        </w:rPr>
      </w:pPr>
      <w:r>
        <w:fldChar w:fldCharType="begin"/>
      </w:r>
      <w:r>
        <w:instrText xml:space="preserve"> HYPERLINK \l "_Toc28280" </w:instrText>
      </w:r>
      <w:r>
        <w:fldChar w:fldCharType="separate"/>
      </w:r>
      <w:r>
        <w:rPr>
          <w:rFonts w:ascii="黑体" w:hAnsi="黑体" w:eastAsia="黑体" w:cs="黑体"/>
          <w:b/>
          <w:bCs/>
          <w:sz w:val="24"/>
          <w:szCs w:val="40"/>
        </w:rPr>
        <w:t>第三章  合同书样式及主要条款</w:t>
      </w:r>
      <w:r>
        <w:rPr>
          <w:b/>
          <w:bCs/>
          <w:sz w:val="24"/>
          <w:szCs w:val="32"/>
        </w:rPr>
        <w:tab/>
      </w:r>
      <w:r>
        <w:rPr>
          <w:b/>
          <w:bCs/>
          <w:sz w:val="24"/>
          <w:szCs w:val="32"/>
        </w:rPr>
        <w:fldChar w:fldCharType="begin"/>
      </w:r>
      <w:r>
        <w:rPr>
          <w:b/>
          <w:bCs/>
          <w:sz w:val="24"/>
          <w:szCs w:val="32"/>
        </w:rPr>
        <w:instrText xml:space="preserve"> PAGEREF _Toc28280 \h </w:instrText>
      </w:r>
      <w:r>
        <w:rPr>
          <w:b/>
          <w:bCs/>
          <w:sz w:val="24"/>
          <w:szCs w:val="32"/>
        </w:rPr>
        <w:fldChar w:fldCharType="separate"/>
      </w:r>
      <w:r>
        <w:rPr>
          <w:b/>
          <w:bCs/>
          <w:sz w:val="24"/>
          <w:szCs w:val="32"/>
        </w:rPr>
        <w:t>20</w:t>
      </w:r>
      <w:r>
        <w:rPr>
          <w:b/>
          <w:bCs/>
          <w:sz w:val="24"/>
          <w:szCs w:val="32"/>
        </w:rPr>
        <w:fldChar w:fldCharType="end"/>
      </w:r>
      <w:r>
        <w:rPr>
          <w:b/>
          <w:bCs/>
          <w:sz w:val="24"/>
          <w:szCs w:val="32"/>
        </w:rPr>
        <w:fldChar w:fldCharType="end"/>
      </w:r>
    </w:p>
    <w:p w14:paraId="01000CC4">
      <w:pPr>
        <w:pStyle w:val="25"/>
        <w:tabs>
          <w:tab w:val="right" w:leader="dot" w:pos="8306"/>
        </w:tabs>
        <w:spacing w:line="480" w:lineRule="auto"/>
        <w:rPr>
          <w:b/>
          <w:bCs/>
          <w:sz w:val="24"/>
          <w:szCs w:val="32"/>
        </w:rPr>
      </w:pPr>
      <w:r>
        <w:fldChar w:fldCharType="begin"/>
      </w:r>
      <w:r>
        <w:instrText xml:space="preserve"> HYPERLINK \l "_Toc32542" </w:instrText>
      </w:r>
      <w:r>
        <w:fldChar w:fldCharType="separate"/>
      </w:r>
      <w:r>
        <w:rPr>
          <w:rFonts w:hint="eastAsia" w:ascii="黑体" w:hAnsi="黑体" w:eastAsia="黑体" w:cs="黑体"/>
          <w:b/>
          <w:bCs/>
          <w:kern w:val="44"/>
          <w:sz w:val="24"/>
          <w:szCs w:val="40"/>
        </w:rPr>
        <w:t>第四章  响应文件格式</w:t>
      </w:r>
      <w:r>
        <w:rPr>
          <w:b/>
          <w:bCs/>
          <w:sz w:val="24"/>
          <w:szCs w:val="32"/>
        </w:rPr>
        <w:tab/>
      </w:r>
      <w:r>
        <w:rPr>
          <w:b/>
          <w:bCs/>
          <w:sz w:val="24"/>
          <w:szCs w:val="32"/>
        </w:rPr>
        <w:fldChar w:fldCharType="begin"/>
      </w:r>
      <w:r>
        <w:rPr>
          <w:b/>
          <w:bCs/>
          <w:sz w:val="24"/>
          <w:szCs w:val="32"/>
        </w:rPr>
        <w:instrText xml:space="preserve"> PAGEREF _Toc32542 \h </w:instrText>
      </w:r>
      <w:r>
        <w:rPr>
          <w:b/>
          <w:bCs/>
          <w:sz w:val="24"/>
          <w:szCs w:val="32"/>
        </w:rPr>
        <w:fldChar w:fldCharType="separate"/>
      </w:r>
      <w:r>
        <w:rPr>
          <w:b/>
          <w:bCs/>
          <w:sz w:val="24"/>
          <w:szCs w:val="32"/>
        </w:rPr>
        <w:t>9</w:t>
      </w:r>
      <w:r>
        <w:rPr>
          <w:b/>
          <w:bCs/>
          <w:sz w:val="24"/>
          <w:szCs w:val="32"/>
        </w:rPr>
        <w:fldChar w:fldCharType="end"/>
      </w:r>
      <w:r>
        <w:rPr>
          <w:b/>
          <w:bCs/>
          <w:sz w:val="24"/>
          <w:szCs w:val="32"/>
        </w:rPr>
        <w:fldChar w:fldCharType="end"/>
      </w:r>
    </w:p>
    <w:p w14:paraId="080B93BB">
      <w:pPr>
        <w:pStyle w:val="25"/>
        <w:tabs>
          <w:tab w:val="right" w:leader="dot" w:pos="8306"/>
        </w:tabs>
        <w:spacing w:line="480" w:lineRule="auto"/>
        <w:rPr>
          <w:b/>
          <w:bCs/>
          <w:sz w:val="24"/>
          <w:szCs w:val="32"/>
        </w:rPr>
      </w:pPr>
      <w:r>
        <w:fldChar w:fldCharType="begin"/>
      </w:r>
      <w:r>
        <w:instrText xml:space="preserve"> HYPERLINK \l "_Toc261" </w:instrText>
      </w:r>
      <w:r>
        <w:fldChar w:fldCharType="separate"/>
      </w:r>
      <w:r>
        <w:rPr>
          <w:rFonts w:hint="eastAsia" w:ascii="黑体" w:hAnsi="黑体" w:eastAsia="黑体" w:cs="黑体"/>
          <w:b/>
          <w:bCs/>
          <w:kern w:val="44"/>
          <w:sz w:val="24"/>
          <w:szCs w:val="40"/>
        </w:rPr>
        <w:t>第五章  采购需求</w:t>
      </w:r>
      <w:r>
        <w:rPr>
          <w:b/>
          <w:bCs/>
          <w:sz w:val="24"/>
          <w:szCs w:val="32"/>
        </w:rPr>
        <w:tab/>
      </w:r>
      <w:r>
        <w:rPr>
          <w:b/>
          <w:bCs/>
          <w:sz w:val="24"/>
          <w:szCs w:val="32"/>
        </w:rPr>
        <w:fldChar w:fldCharType="begin"/>
      </w:r>
      <w:r>
        <w:rPr>
          <w:b/>
          <w:bCs/>
          <w:sz w:val="24"/>
          <w:szCs w:val="32"/>
        </w:rPr>
        <w:instrText xml:space="preserve"> PAGEREF _Toc261 \h </w:instrText>
      </w:r>
      <w:r>
        <w:rPr>
          <w:b/>
          <w:bCs/>
          <w:sz w:val="24"/>
          <w:szCs w:val="32"/>
        </w:rPr>
        <w:fldChar w:fldCharType="separate"/>
      </w:r>
      <w:r>
        <w:rPr>
          <w:b/>
          <w:bCs/>
          <w:sz w:val="24"/>
          <w:szCs w:val="32"/>
        </w:rPr>
        <w:t>26</w:t>
      </w:r>
      <w:r>
        <w:rPr>
          <w:b/>
          <w:bCs/>
          <w:sz w:val="24"/>
          <w:szCs w:val="32"/>
        </w:rPr>
        <w:fldChar w:fldCharType="end"/>
      </w:r>
      <w:r>
        <w:rPr>
          <w:b/>
          <w:bCs/>
          <w:sz w:val="24"/>
          <w:szCs w:val="32"/>
        </w:rPr>
        <w:fldChar w:fldCharType="end"/>
      </w:r>
    </w:p>
    <w:p w14:paraId="7B2783BF">
      <w:pPr>
        <w:pStyle w:val="25"/>
        <w:tabs>
          <w:tab w:val="right" w:leader="dot" w:pos="8306"/>
        </w:tabs>
        <w:spacing w:line="480" w:lineRule="auto"/>
      </w:pPr>
      <w:r>
        <w:fldChar w:fldCharType="begin"/>
      </w:r>
      <w:r>
        <w:instrText xml:space="preserve"> HYPERLINK \l "_Toc3638" </w:instrText>
      </w:r>
      <w:r>
        <w:fldChar w:fldCharType="separate"/>
      </w:r>
      <w:r>
        <w:rPr>
          <w:rFonts w:hint="eastAsia" w:ascii="黑体" w:hAnsi="黑体" w:eastAsia="黑体" w:cs="黑体"/>
          <w:b/>
          <w:bCs/>
          <w:kern w:val="44"/>
          <w:sz w:val="24"/>
          <w:szCs w:val="40"/>
        </w:rPr>
        <w:t>第六章  评审方法</w:t>
      </w:r>
      <w:r>
        <w:rPr>
          <w:b/>
          <w:bCs/>
          <w:sz w:val="24"/>
          <w:szCs w:val="32"/>
        </w:rPr>
        <w:tab/>
      </w:r>
      <w:r>
        <w:rPr>
          <w:b/>
          <w:bCs/>
          <w:sz w:val="24"/>
          <w:szCs w:val="32"/>
        </w:rPr>
        <w:fldChar w:fldCharType="begin"/>
      </w:r>
      <w:r>
        <w:rPr>
          <w:b/>
          <w:bCs/>
          <w:sz w:val="24"/>
          <w:szCs w:val="32"/>
        </w:rPr>
        <w:instrText xml:space="preserve"> PAGEREF _Toc3638 \h </w:instrText>
      </w:r>
      <w:r>
        <w:rPr>
          <w:b/>
          <w:bCs/>
          <w:sz w:val="24"/>
          <w:szCs w:val="32"/>
        </w:rPr>
        <w:fldChar w:fldCharType="separate"/>
      </w:r>
      <w:r>
        <w:rPr>
          <w:b/>
          <w:bCs/>
          <w:sz w:val="24"/>
          <w:szCs w:val="32"/>
        </w:rPr>
        <w:t>52</w:t>
      </w:r>
      <w:r>
        <w:rPr>
          <w:b/>
          <w:bCs/>
          <w:sz w:val="24"/>
          <w:szCs w:val="32"/>
        </w:rPr>
        <w:fldChar w:fldCharType="end"/>
      </w:r>
      <w:r>
        <w:rPr>
          <w:b/>
          <w:bCs/>
          <w:sz w:val="24"/>
          <w:szCs w:val="32"/>
        </w:rPr>
        <w:fldChar w:fldCharType="end"/>
      </w:r>
    </w:p>
    <w:p w14:paraId="355B465C">
      <w:pPr>
        <w:pStyle w:val="17"/>
        <w:tabs>
          <w:tab w:val="clear" w:pos="9515"/>
        </w:tabs>
        <w:spacing w:line="480" w:lineRule="auto"/>
        <w:ind w:left="840"/>
        <w:jc w:val="center"/>
      </w:pPr>
      <w:r>
        <w:rPr>
          <w:rFonts w:hint="eastAsia" w:ascii="黑体" w:hAnsi="黑体" w:eastAsia="黑体" w:cs="黑体"/>
          <w:bCs/>
          <w:szCs w:val="28"/>
        </w:rPr>
        <w:fldChar w:fldCharType="end"/>
      </w:r>
      <w:bookmarkEnd w:id="12"/>
      <w:bookmarkEnd w:id="13"/>
    </w:p>
    <w:p w14:paraId="7B14C269"/>
    <w:p w14:paraId="73443657">
      <w:pPr>
        <w:pStyle w:val="3"/>
        <w:jc w:val="center"/>
        <w:rPr>
          <w:rFonts w:ascii="Times New Roman" w:hAnsi="宋体" w:eastAsia="宋体"/>
          <w:color w:val="auto"/>
          <w:sz w:val="32"/>
        </w:rPr>
        <w:sectPr>
          <w:footerReference r:id="rId11" w:type="first"/>
          <w:headerReference r:id="rId9" w:type="default"/>
          <w:footerReference r:id="rId10" w:type="default"/>
          <w:pgSz w:w="11906" w:h="16838"/>
          <w:pgMar w:top="1440" w:right="1440" w:bottom="1440" w:left="1440" w:header="510" w:footer="680" w:gutter="0"/>
          <w:pgNumType w:start="1"/>
          <w:cols w:space="0" w:num="1"/>
          <w:titlePg/>
          <w:docGrid w:type="linesAndChars" w:linePitch="312" w:charSpace="0"/>
        </w:sectPr>
      </w:pPr>
    </w:p>
    <w:p w14:paraId="64FD0E72">
      <w:pPr>
        <w:pStyle w:val="3"/>
        <w:keepLines/>
        <w:autoSpaceDE/>
        <w:autoSpaceDN/>
        <w:adjustRightInd/>
        <w:spacing w:before="156" w:beforeLines="50" w:line="360" w:lineRule="auto"/>
        <w:jc w:val="center"/>
        <w:rPr>
          <w:rFonts w:ascii="黑体" w:hAnsi="黑体" w:eastAsia="黑体" w:cs="黑体"/>
          <w:color w:val="auto"/>
          <w:kern w:val="44"/>
          <w:sz w:val="32"/>
          <w:szCs w:val="32"/>
        </w:rPr>
      </w:pPr>
      <w:bookmarkStart w:id="14" w:name="_Toc29618"/>
      <w:bookmarkStart w:id="15" w:name="_Toc17280"/>
      <w:bookmarkStart w:id="16" w:name="_Toc29112"/>
      <w:r>
        <w:rPr>
          <w:rFonts w:hint="eastAsia" w:ascii="黑体" w:hAnsi="黑体" w:eastAsia="黑体" w:cs="黑体"/>
          <w:color w:val="auto"/>
          <w:kern w:val="44"/>
          <w:sz w:val="32"/>
          <w:szCs w:val="32"/>
        </w:rPr>
        <w:t>第一章  单一来源采购邀请书</w:t>
      </w:r>
      <w:bookmarkEnd w:id="14"/>
      <w:bookmarkEnd w:id="15"/>
      <w:bookmarkEnd w:id="16"/>
    </w:p>
    <w:p w14:paraId="5B7ECA02">
      <w:pPr>
        <w:pStyle w:val="4"/>
        <w:spacing w:before="0" w:after="0"/>
        <w:jc w:val="both"/>
        <w:rPr>
          <w:rFonts w:ascii="黑体" w:hAnsi="黑体" w:eastAsia="黑体" w:cs="黑体"/>
          <w:bCs w:val="0"/>
          <w:snapToGrid w:val="0"/>
          <w:kern w:val="21"/>
          <w:szCs w:val="28"/>
        </w:rPr>
      </w:pPr>
      <w:bookmarkStart w:id="17" w:name="_Toc462330055"/>
      <w:bookmarkStart w:id="18" w:name="_Toc86124033"/>
      <w:bookmarkStart w:id="19" w:name="_Toc498050621"/>
      <w:bookmarkStart w:id="20" w:name="_Toc5592"/>
      <w:bookmarkStart w:id="21" w:name="_Toc490305676"/>
      <w:bookmarkStart w:id="22" w:name="_Toc15500"/>
      <w:r>
        <w:rPr>
          <w:rFonts w:hint="eastAsia" w:ascii="黑体" w:hAnsi="黑体" w:eastAsia="黑体" w:cs="黑体"/>
          <w:bCs w:val="0"/>
          <w:snapToGrid w:val="0"/>
          <w:kern w:val="21"/>
          <w:szCs w:val="28"/>
        </w:rPr>
        <w:t>一、单一</w:t>
      </w:r>
      <w:bookmarkStart w:id="23" w:name="OLE_LINK12"/>
      <w:r>
        <w:rPr>
          <w:rFonts w:hint="eastAsia" w:ascii="黑体" w:hAnsi="黑体" w:eastAsia="黑体" w:cs="黑体"/>
          <w:bCs w:val="0"/>
          <w:snapToGrid w:val="0"/>
          <w:kern w:val="21"/>
          <w:szCs w:val="28"/>
        </w:rPr>
        <w:t>来源采购条件</w:t>
      </w:r>
      <w:bookmarkEnd w:id="17"/>
      <w:bookmarkEnd w:id="18"/>
      <w:bookmarkEnd w:id="19"/>
      <w:bookmarkEnd w:id="20"/>
      <w:bookmarkEnd w:id="21"/>
      <w:bookmarkEnd w:id="22"/>
      <w:bookmarkEnd w:id="23"/>
    </w:p>
    <w:p w14:paraId="4F0439F4">
      <w:pPr>
        <w:spacing w:line="360" w:lineRule="auto"/>
        <w:ind w:firstLine="420" w:firstLineChars="200"/>
        <w:rPr>
          <w:bCs/>
          <w:szCs w:val="21"/>
        </w:rPr>
      </w:pPr>
      <w:r>
        <w:rPr>
          <w:szCs w:val="21"/>
        </w:rPr>
        <w:t>根据《中华人民共和国政府采购法</w:t>
      </w:r>
      <w:r>
        <w:rPr>
          <w:rFonts w:hint="eastAsia"/>
          <w:szCs w:val="21"/>
        </w:rPr>
        <w:t>》、</w:t>
      </w:r>
      <w:r>
        <w:rPr>
          <w:rFonts w:hint="eastAsia" w:ascii="宋体" w:hAnsi="宋体" w:cs="宋体"/>
        </w:rPr>
        <w:t>《中华人民共和国政府采购法实施条例》、</w:t>
      </w:r>
      <w:r>
        <w:rPr>
          <w:rFonts w:hint="eastAsia"/>
          <w:szCs w:val="21"/>
        </w:rPr>
        <w:t>《政府采购非招标采购方式管理办法》（财政部令第74号）</w:t>
      </w:r>
      <w:r>
        <w:rPr>
          <w:szCs w:val="21"/>
        </w:rPr>
        <w:t>等有关法律、法规和规章</w:t>
      </w:r>
      <w:r>
        <w:rPr>
          <w:bCs/>
          <w:szCs w:val="21"/>
        </w:rPr>
        <w:t>的规定</w:t>
      </w:r>
      <w:r>
        <w:rPr>
          <w:szCs w:val="21"/>
        </w:rPr>
        <w:t>，</w:t>
      </w:r>
      <w:r>
        <w:rPr>
          <w:rFonts w:hint="eastAsia"/>
          <w:szCs w:val="21"/>
        </w:rPr>
        <w:t>云南中咨海外咨询有限公司</w:t>
      </w:r>
      <w:r>
        <w:rPr>
          <w:szCs w:val="21"/>
        </w:rPr>
        <w:t>（以下简称</w:t>
      </w:r>
      <w:r>
        <w:rPr>
          <w:rFonts w:hint="eastAsia"/>
          <w:szCs w:val="21"/>
        </w:rPr>
        <w:t>：“</w:t>
      </w:r>
      <w:r>
        <w:rPr>
          <w:szCs w:val="21"/>
        </w:rPr>
        <w:t>采购</w:t>
      </w:r>
      <w:r>
        <w:rPr>
          <w:rFonts w:hint="eastAsia"/>
          <w:szCs w:val="21"/>
        </w:rPr>
        <w:t>代理机构”</w:t>
      </w:r>
      <w:r>
        <w:rPr>
          <w:szCs w:val="21"/>
        </w:rPr>
        <w:t>）受采购人的委托，</w:t>
      </w:r>
      <w:r>
        <w:rPr>
          <w:rFonts w:hint="eastAsia"/>
          <w:szCs w:val="21"/>
        </w:rPr>
        <w:t>就“</w:t>
      </w:r>
      <w:r>
        <w:rPr>
          <w:rFonts w:hint="eastAsia"/>
          <w:szCs w:val="21"/>
          <w:u w:val="single"/>
        </w:rPr>
        <w:t>西南林业大学机械与交通学院基于智慧树教学平台的机械类智慧课程教学资源库建设服务</w:t>
      </w:r>
      <w:r>
        <w:rPr>
          <w:rFonts w:hint="eastAsia"/>
          <w:szCs w:val="21"/>
        </w:rPr>
        <w:t>”向本项目唯一供应</w:t>
      </w:r>
      <w:r>
        <w:rPr>
          <w:rFonts w:hint="eastAsia"/>
          <w:bCs/>
          <w:szCs w:val="21"/>
        </w:rPr>
        <w:t>商“上海智慧知到网络科技有限公司”</w:t>
      </w:r>
      <w:r>
        <w:rPr>
          <w:bCs/>
          <w:szCs w:val="21"/>
        </w:rPr>
        <w:t>采用</w:t>
      </w:r>
      <w:r>
        <w:rPr>
          <w:szCs w:val="21"/>
        </w:rPr>
        <w:t>单</w:t>
      </w:r>
      <w:r>
        <w:rPr>
          <w:bCs/>
          <w:szCs w:val="21"/>
        </w:rPr>
        <w:t>一来源采购方式</w:t>
      </w:r>
      <w:r>
        <w:rPr>
          <w:rFonts w:hint="eastAsia"/>
          <w:bCs/>
          <w:szCs w:val="21"/>
        </w:rPr>
        <w:t>进行</w:t>
      </w:r>
      <w:r>
        <w:rPr>
          <w:bCs/>
          <w:szCs w:val="21"/>
        </w:rPr>
        <w:t>采购。</w:t>
      </w:r>
    </w:p>
    <w:p w14:paraId="054A92E7">
      <w:pPr>
        <w:pStyle w:val="4"/>
        <w:spacing w:before="0" w:after="0"/>
        <w:jc w:val="both"/>
        <w:rPr>
          <w:rFonts w:ascii="黑体" w:hAnsi="黑体" w:eastAsia="黑体" w:cs="黑体"/>
          <w:bCs w:val="0"/>
          <w:snapToGrid w:val="0"/>
          <w:kern w:val="21"/>
          <w:szCs w:val="28"/>
        </w:rPr>
      </w:pPr>
      <w:bookmarkStart w:id="24" w:name="_Toc23937"/>
      <w:bookmarkStart w:id="25" w:name="_Toc490305677"/>
      <w:bookmarkStart w:id="26" w:name="_Toc462330056"/>
      <w:bookmarkStart w:id="27" w:name="_Toc498050622"/>
      <w:bookmarkStart w:id="28" w:name="_Toc28145"/>
      <w:r>
        <w:rPr>
          <w:rFonts w:hint="eastAsia" w:ascii="黑体" w:hAnsi="黑体" w:eastAsia="黑体" w:cs="黑体"/>
          <w:bCs w:val="0"/>
          <w:snapToGrid w:val="0"/>
          <w:kern w:val="21"/>
          <w:szCs w:val="28"/>
        </w:rPr>
        <w:t>二</w:t>
      </w:r>
      <w:bookmarkStart w:id="29" w:name="OLE_LINK28"/>
      <w:r>
        <w:rPr>
          <w:rFonts w:hint="eastAsia" w:ascii="黑体" w:hAnsi="黑体" w:eastAsia="黑体" w:cs="黑体"/>
          <w:bCs w:val="0"/>
          <w:snapToGrid w:val="0"/>
          <w:kern w:val="21"/>
          <w:szCs w:val="28"/>
        </w:rPr>
        <w:t>、项目概况</w:t>
      </w:r>
      <w:bookmarkEnd w:id="24"/>
      <w:bookmarkEnd w:id="25"/>
      <w:bookmarkEnd w:id="26"/>
      <w:bookmarkEnd w:id="27"/>
      <w:bookmarkEnd w:id="28"/>
      <w:bookmarkEnd w:id="29"/>
    </w:p>
    <w:p w14:paraId="28604564">
      <w:pPr>
        <w:spacing w:line="360" w:lineRule="auto"/>
        <w:ind w:firstLine="420" w:firstLineChars="200"/>
        <w:rPr>
          <w:rFonts w:ascii="宋体" w:hAnsi="宋体" w:cs="宋体"/>
          <w:szCs w:val="21"/>
        </w:rPr>
      </w:pPr>
      <w:bookmarkStart w:id="30" w:name="OLE_LINK19"/>
      <w:r>
        <w:rPr>
          <w:rFonts w:hint="eastAsia" w:ascii="宋体" w:hAnsi="宋体" w:cs="宋体"/>
          <w:b/>
          <w:bCs/>
          <w:szCs w:val="21"/>
        </w:rPr>
        <w:t>1.项目</w:t>
      </w:r>
      <w:bookmarkStart w:id="31" w:name="OLE_LINK18"/>
      <w:r>
        <w:rPr>
          <w:rFonts w:hint="eastAsia" w:ascii="宋体" w:hAnsi="宋体" w:cs="宋体"/>
          <w:b/>
          <w:bCs/>
          <w:szCs w:val="21"/>
        </w:rPr>
        <w:t>名称：</w:t>
      </w:r>
      <w:r>
        <w:rPr>
          <w:rFonts w:hint="eastAsia" w:ascii="宋体" w:hAnsi="宋体" w:cs="宋体"/>
          <w:szCs w:val="21"/>
        </w:rPr>
        <w:t>西南林业大学机械与交通学院基于智慧树教学平台的机械类智慧课程教学资源库建设服务</w:t>
      </w:r>
    </w:p>
    <w:p w14:paraId="3FDE9001">
      <w:pPr>
        <w:spacing w:line="360" w:lineRule="auto"/>
        <w:ind w:firstLine="420" w:firstLineChars="200"/>
        <w:rPr>
          <w:rFonts w:hint="eastAsia" w:ascii="宋体" w:hAnsi="宋体" w:eastAsia="宋体" w:cs="宋体"/>
          <w:szCs w:val="21"/>
          <w:lang w:eastAsia="zh-CN"/>
        </w:rPr>
      </w:pPr>
      <w:bookmarkStart w:id="32" w:name="OLE_LINK13"/>
      <w:r>
        <w:rPr>
          <w:rFonts w:hint="eastAsia" w:ascii="宋体" w:hAnsi="宋体" w:cs="宋体"/>
          <w:b/>
          <w:bCs/>
          <w:szCs w:val="21"/>
        </w:rPr>
        <w:t>2.项目编号：</w:t>
      </w:r>
      <w:bookmarkEnd w:id="32"/>
      <w:r>
        <w:rPr>
          <w:rFonts w:hint="eastAsia" w:ascii="宋体" w:hAnsi="宋体" w:cs="宋体"/>
          <w:szCs w:val="21"/>
          <w:lang w:eastAsia="zh-CN"/>
        </w:rPr>
        <w:t>YNZC2026-D3-03520-YNZZ-0337</w:t>
      </w:r>
    </w:p>
    <w:p w14:paraId="77BDA992">
      <w:pPr>
        <w:spacing w:line="360" w:lineRule="auto"/>
        <w:ind w:firstLine="420" w:firstLineChars="200"/>
        <w:rPr>
          <w:rFonts w:ascii="宋体" w:hAnsi="宋体" w:cs="宋体"/>
          <w:szCs w:val="21"/>
        </w:rPr>
      </w:pPr>
      <w:r>
        <w:rPr>
          <w:rFonts w:hint="eastAsia" w:ascii="宋体" w:hAnsi="宋体" w:cs="宋体"/>
          <w:b/>
          <w:bCs/>
          <w:szCs w:val="21"/>
        </w:rPr>
        <w:t>3.采购方式：</w:t>
      </w:r>
      <w:r>
        <w:rPr>
          <w:rFonts w:hint="eastAsia" w:ascii="宋体" w:hAnsi="宋体" w:cs="宋体"/>
          <w:szCs w:val="21"/>
        </w:rPr>
        <w:t>单一来源</w:t>
      </w:r>
    </w:p>
    <w:p w14:paraId="1E5F432C">
      <w:pPr>
        <w:spacing w:line="360" w:lineRule="auto"/>
        <w:ind w:firstLine="420" w:firstLineChars="200"/>
        <w:rPr>
          <w:rFonts w:ascii="宋体" w:hAnsi="宋体" w:cs="宋体"/>
          <w:szCs w:val="21"/>
        </w:rPr>
      </w:pPr>
      <w:r>
        <w:rPr>
          <w:rFonts w:hint="eastAsia" w:ascii="宋体" w:hAnsi="宋体" w:cs="宋体"/>
          <w:b/>
          <w:bCs/>
          <w:szCs w:val="21"/>
        </w:rPr>
        <w:t>4.预算金额：</w:t>
      </w:r>
      <w:r>
        <w:rPr>
          <w:rFonts w:hint="eastAsia" w:ascii="宋体" w:hAnsi="宋体" w:cs="宋体"/>
          <w:szCs w:val="21"/>
        </w:rPr>
        <w:t>93.00万元；</w:t>
      </w:r>
    </w:p>
    <w:p w14:paraId="7C9CFF87">
      <w:pPr>
        <w:spacing w:line="360" w:lineRule="auto"/>
        <w:ind w:firstLine="420" w:firstLineChars="200"/>
        <w:rPr>
          <w:rFonts w:ascii="宋体" w:hAnsi="宋体" w:cs="宋体"/>
          <w:szCs w:val="21"/>
        </w:rPr>
      </w:pPr>
      <w:r>
        <w:rPr>
          <w:rFonts w:hint="eastAsia" w:ascii="宋体" w:hAnsi="宋体" w:cs="宋体"/>
          <w:b/>
          <w:bCs/>
          <w:szCs w:val="21"/>
        </w:rPr>
        <w:t>5.最高限价：</w:t>
      </w:r>
      <w:r>
        <w:rPr>
          <w:rFonts w:hint="eastAsia" w:ascii="宋体" w:hAnsi="宋体" w:cs="宋体"/>
          <w:szCs w:val="21"/>
        </w:rPr>
        <w:t>93.00万元；</w:t>
      </w:r>
    </w:p>
    <w:bookmarkEnd w:id="30"/>
    <w:bookmarkEnd w:id="31"/>
    <w:p w14:paraId="584D4BD9">
      <w:pPr>
        <w:spacing w:line="360" w:lineRule="auto"/>
        <w:ind w:firstLine="420"/>
        <w:rPr>
          <w:rFonts w:ascii="宋体" w:hAnsi="宋体"/>
          <w:b/>
          <w:bCs/>
          <w:szCs w:val="21"/>
        </w:rPr>
      </w:pPr>
      <w:bookmarkStart w:id="33" w:name="OLE_LINK23"/>
      <w:r>
        <w:rPr>
          <w:rFonts w:hint="eastAsia" w:ascii="宋体" w:hAnsi="宋体"/>
          <w:b/>
          <w:bCs/>
          <w:szCs w:val="21"/>
        </w:rPr>
        <w:t>6.采购需求</w:t>
      </w:r>
      <w:r>
        <w:rPr>
          <w:rFonts w:ascii="宋体" w:hAnsi="宋体"/>
          <w:b/>
          <w:bCs/>
          <w:szCs w:val="21"/>
        </w:rPr>
        <w:t>：</w:t>
      </w:r>
    </w:p>
    <w:bookmarkEnd w:id="33"/>
    <w:tbl>
      <w:tblPr>
        <w:tblStyle w:val="38"/>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580"/>
        <w:gridCol w:w="1157"/>
        <w:gridCol w:w="629"/>
        <w:gridCol w:w="687"/>
        <w:gridCol w:w="1271"/>
        <w:gridCol w:w="3119"/>
      </w:tblGrid>
      <w:tr w14:paraId="03A5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2" w:type="dxa"/>
            <w:shd w:val="clear" w:color="000000" w:fill="FFFFFF"/>
            <w:vAlign w:val="center"/>
          </w:tcPr>
          <w:p w14:paraId="49FDFEE3">
            <w:pPr>
              <w:spacing w:line="360" w:lineRule="auto"/>
              <w:jc w:val="center"/>
              <w:rPr>
                <w:rFonts w:ascii="宋体" w:hAnsi="宋体" w:cs="宋体"/>
                <w:b/>
                <w:bCs/>
                <w:kern w:val="0"/>
                <w:szCs w:val="21"/>
              </w:rPr>
            </w:pPr>
            <w:bookmarkStart w:id="34" w:name="OLE_LINK21" w:colFirst="0" w:colLast="0"/>
            <w:r>
              <w:rPr>
                <w:rStyle w:val="41"/>
                <w:rFonts w:hint="eastAsia" w:ascii="宋体" w:hAnsi="宋体" w:cs="宋体"/>
                <w:kern w:val="0"/>
                <w:szCs w:val="21"/>
              </w:rPr>
              <w:t>序号</w:t>
            </w:r>
          </w:p>
        </w:tc>
        <w:tc>
          <w:tcPr>
            <w:tcW w:w="1580" w:type="dxa"/>
            <w:shd w:val="clear" w:color="000000" w:fill="FFFFFF"/>
            <w:vAlign w:val="center"/>
          </w:tcPr>
          <w:p w14:paraId="12C3E27A">
            <w:pPr>
              <w:spacing w:line="360" w:lineRule="auto"/>
              <w:jc w:val="center"/>
              <w:rPr>
                <w:rFonts w:ascii="宋体" w:hAnsi="宋体" w:cs="宋体"/>
                <w:b/>
                <w:bCs/>
                <w:kern w:val="0"/>
                <w:szCs w:val="21"/>
              </w:rPr>
            </w:pPr>
            <w:bookmarkStart w:id="35" w:name="OLE_LINK20" w:colFirst="1" w:colLast="2"/>
            <w:r>
              <w:rPr>
                <w:rStyle w:val="41"/>
                <w:rFonts w:hint="eastAsia" w:ascii="宋体" w:hAnsi="宋体" w:cs="宋体"/>
                <w:kern w:val="0"/>
                <w:szCs w:val="21"/>
              </w:rPr>
              <w:t>标的名称</w:t>
            </w:r>
          </w:p>
          <w:bookmarkEnd w:id="35"/>
        </w:tc>
        <w:tc>
          <w:tcPr>
            <w:tcW w:w="1157" w:type="dxa"/>
            <w:shd w:val="clear" w:color="000000" w:fill="FFFFFF"/>
            <w:vAlign w:val="center"/>
          </w:tcPr>
          <w:p w14:paraId="5FD0D608">
            <w:pPr>
              <w:spacing w:line="360" w:lineRule="auto"/>
              <w:jc w:val="center"/>
              <w:rPr>
                <w:rStyle w:val="41"/>
                <w:rFonts w:ascii="宋体" w:hAnsi="宋体" w:cs="宋体"/>
                <w:kern w:val="0"/>
                <w:szCs w:val="21"/>
              </w:rPr>
            </w:pPr>
            <w:r>
              <w:rPr>
                <w:rFonts w:hint="eastAsia" w:ascii="宋体" w:hAnsi="宋体" w:cs="宋体"/>
                <w:b/>
                <w:szCs w:val="21"/>
              </w:rPr>
              <w:t>是否接受进口产品</w:t>
            </w:r>
          </w:p>
        </w:tc>
        <w:tc>
          <w:tcPr>
            <w:tcW w:w="629" w:type="dxa"/>
            <w:shd w:val="clear" w:color="000000" w:fill="FFFFFF"/>
            <w:vAlign w:val="center"/>
          </w:tcPr>
          <w:p w14:paraId="6EE514B3">
            <w:pPr>
              <w:spacing w:line="360" w:lineRule="auto"/>
              <w:jc w:val="center"/>
              <w:rPr>
                <w:rFonts w:ascii="宋体" w:hAnsi="宋体" w:cs="宋体"/>
                <w:b/>
                <w:bCs/>
                <w:kern w:val="0"/>
                <w:szCs w:val="21"/>
              </w:rPr>
            </w:pPr>
            <w:r>
              <w:rPr>
                <w:rStyle w:val="41"/>
                <w:rFonts w:hint="eastAsia" w:ascii="宋体" w:hAnsi="宋体" w:cs="宋体"/>
                <w:kern w:val="0"/>
                <w:szCs w:val="21"/>
              </w:rPr>
              <w:t>数量</w:t>
            </w:r>
          </w:p>
        </w:tc>
        <w:tc>
          <w:tcPr>
            <w:tcW w:w="687" w:type="dxa"/>
            <w:shd w:val="clear" w:color="000000" w:fill="FFFFFF"/>
            <w:vAlign w:val="center"/>
          </w:tcPr>
          <w:p w14:paraId="563921B0">
            <w:pPr>
              <w:spacing w:line="360" w:lineRule="auto"/>
              <w:jc w:val="center"/>
              <w:rPr>
                <w:rFonts w:ascii="宋体" w:hAnsi="宋体" w:cs="宋体"/>
                <w:b/>
                <w:bCs/>
                <w:kern w:val="0"/>
                <w:szCs w:val="21"/>
              </w:rPr>
            </w:pPr>
            <w:r>
              <w:rPr>
                <w:rStyle w:val="41"/>
                <w:rFonts w:hint="eastAsia" w:ascii="宋体" w:hAnsi="宋体" w:cs="宋体"/>
                <w:kern w:val="0"/>
                <w:szCs w:val="21"/>
              </w:rPr>
              <w:t>计量单位</w:t>
            </w:r>
          </w:p>
        </w:tc>
        <w:tc>
          <w:tcPr>
            <w:tcW w:w="1271" w:type="dxa"/>
            <w:shd w:val="clear" w:color="000000" w:fill="FFFFFF"/>
            <w:vAlign w:val="center"/>
          </w:tcPr>
          <w:p w14:paraId="0C5E0A7F">
            <w:pPr>
              <w:spacing w:line="360" w:lineRule="auto"/>
              <w:jc w:val="center"/>
              <w:rPr>
                <w:rStyle w:val="41"/>
                <w:rFonts w:ascii="宋体" w:hAnsi="宋体" w:cs="宋体"/>
                <w:kern w:val="0"/>
                <w:szCs w:val="21"/>
              </w:rPr>
            </w:pPr>
            <w:r>
              <w:rPr>
                <w:rStyle w:val="41"/>
                <w:rFonts w:hint="eastAsia" w:ascii="宋体" w:hAnsi="宋体" w:cs="宋体"/>
                <w:kern w:val="0"/>
                <w:szCs w:val="21"/>
              </w:rPr>
              <w:t>★单价最高限价（元）</w:t>
            </w:r>
          </w:p>
        </w:tc>
        <w:tc>
          <w:tcPr>
            <w:tcW w:w="3119" w:type="dxa"/>
            <w:shd w:val="clear" w:color="000000" w:fill="FFFFFF"/>
            <w:vAlign w:val="center"/>
          </w:tcPr>
          <w:p w14:paraId="215B5E2D">
            <w:pPr>
              <w:spacing w:line="360" w:lineRule="auto"/>
              <w:jc w:val="center"/>
              <w:rPr>
                <w:rStyle w:val="41"/>
                <w:rFonts w:ascii="宋体" w:hAnsi="宋体" w:cs="宋体"/>
                <w:kern w:val="0"/>
                <w:szCs w:val="21"/>
              </w:rPr>
            </w:pPr>
            <w:r>
              <w:rPr>
                <w:rFonts w:hint="eastAsia" w:ascii="宋体" w:hAnsi="宋体" w:cs="宋体"/>
                <w:b/>
                <w:szCs w:val="21"/>
              </w:rPr>
              <w:t>简要技术（服务）需求</w:t>
            </w:r>
          </w:p>
        </w:tc>
      </w:tr>
      <w:tr w14:paraId="2334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2" w:type="dxa"/>
            <w:shd w:val="clear" w:color="000000" w:fill="FFFFFF"/>
            <w:vAlign w:val="center"/>
          </w:tcPr>
          <w:p w14:paraId="2BC76E73">
            <w:pPr>
              <w:spacing w:line="360" w:lineRule="auto"/>
              <w:jc w:val="center"/>
              <w:rPr>
                <w:rStyle w:val="41"/>
                <w:rFonts w:ascii="宋体" w:hAnsi="宋体" w:cs="宋体"/>
                <w:kern w:val="0"/>
                <w:szCs w:val="21"/>
              </w:rPr>
            </w:pPr>
            <w:bookmarkStart w:id="36" w:name="_Hlk231307411"/>
            <w:r>
              <w:rPr>
                <w:rStyle w:val="41"/>
                <w:rFonts w:hint="eastAsia" w:ascii="宋体" w:hAnsi="宋体" w:cs="宋体"/>
                <w:b w:val="0"/>
                <w:bCs w:val="0"/>
                <w:kern w:val="0"/>
                <w:szCs w:val="21"/>
              </w:rPr>
              <w:t>1</w:t>
            </w:r>
          </w:p>
        </w:tc>
        <w:tc>
          <w:tcPr>
            <w:tcW w:w="1580" w:type="dxa"/>
            <w:shd w:val="clear" w:color="000000" w:fill="FFFFFF"/>
            <w:vAlign w:val="center"/>
          </w:tcPr>
          <w:p w14:paraId="3D185477">
            <w:pPr>
              <w:spacing w:line="360" w:lineRule="auto"/>
              <w:jc w:val="center"/>
              <w:rPr>
                <w:rStyle w:val="41"/>
                <w:rFonts w:ascii="宋体" w:hAnsi="宋体" w:cs="宋体"/>
                <w:kern w:val="0"/>
                <w:szCs w:val="21"/>
              </w:rPr>
            </w:pPr>
            <w:r>
              <w:rPr>
                <w:rStyle w:val="41"/>
                <w:rFonts w:hint="eastAsia" w:ascii="宋体" w:hAnsi="宋体" w:cs="宋体"/>
                <w:b w:val="0"/>
                <w:bCs w:val="0"/>
                <w:kern w:val="0"/>
                <w:szCs w:val="21"/>
              </w:rPr>
              <w:t>基于智慧树教学平台的机械类智慧课程教学资源库建设服务</w:t>
            </w:r>
          </w:p>
        </w:tc>
        <w:tc>
          <w:tcPr>
            <w:tcW w:w="1157" w:type="dxa"/>
            <w:shd w:val="clear" w:color="000000" w:fill="FFFFFF"/>
            <w:vAlign w:val="center"/>
          </w:tcPr>
          <w:p w14:paraId="79582F34">
            <w:pPr>
              <w:spacing w:line="360" w:lineRule="auto"/>
              <w:jc w:val="center"/>
              <w:rPr>
                <w:rFonts w:ascii="宋体" w:hAnsi="宋体" w:cs="宋体"/>
                <w:b/>
                <w:szCs w:val="21"/>
              </w:rPr>
            </w:pPr>
            <w:r>
              <w:rPr>
                <w:rFonts w:hint="eastAsia" w:ascii="宋体" w:hAnsi="宋体" w:cs="宋体"/>
                <w:szCs w:val="21"/>
              </w:rPr>
              <w:t>否</w:t>
            </w:r>
          </w:p>
        </w:tc>
        <w:tc>
          <w:tcPr>
            <w:tcW w:w="629" w:type="dxa"/>
            <w:shd w:val="clear" w:color="000000" w:fill="FFFFFF"/>
            <w:vAlign w:val="center"/>
          </w:tcPr>
          <w:p w14:paraId="6CBB7D1A">
            <w:pPr>
              <w:spacing w:line="360" w:lineRule="auto"/>
              <w:jc w:val="center"/>
              <w:rPr>
                <w:rStyle w:val="41"/>
                <w:rFonts w:ascii="宋体" w:hAnsi="宋体" w:cs="宋体"/>
                <w:b w:val="0"/>
                <w:bCs w:val="0"/>
                <w:kern w:val="0"/>
                <w:szCs w:val="21"/>
              </w:rPr>
            </w:pPr>
            <w:r>
              <w:rPr>
                <w:rStyle w:val="41"/>
                <w:rFonts w:hint="eastAsia" w:ascii="宋体" w:hAnsi="宋体" w:cs="宋体"/>
                <w:b w:val="0"/>
                <w:bCs w:val="0"/>
                <w:kern w:val="0"/>
                <w:szCs w:val="21"/>
              </w:rPr>
              <w:t>1</w:t>
            </w:r>
          </w:p>
        </w:tc>
        <w:tc>
          <w:tcPr>
            <w:tcW w:w="687" w:type="dxa"/>
            <w:shd w:val="clear" w:color="000000" w:fill="FFFFFF"/>
            <w:vAlign w:val="center"/>
          </w:tcPr>
          <w:p w14:paraId="21A4EF82">
            <w:pPr>
              <w:spacing w:line="360" w:lineRule="auto"/>
              <w:jc w:val="center"/>
              <w:rPr>
                <w:rStyle w:val="41"/>
                <w:rFonts w:ascii="宋体" w:hAnsi="宋体" w:cs="宋体"/>
                <w:b w:val="0"/>
                <w:bCs w:val="0"/>
                <w:kern w:val="0"/>
                <w:szCs w:val="21"/>
              </w:rPr>
            </w:pPr>
            <w:r>
              <w:rPr>
                <w:rStyle w:val="41"/>
                <w:rFonts w:hint="eastAsia" w:ascii="宋体" w:hAnsi="宋体" w:cs="宋体"/>
                <w:b w:val="0"/>
                <w:bCs w:val="0"/>
                <w:kern w:val="0"/>
                <w:szCs w:val="21"/>
              </w:rPr>
              <w:t>项</w:t>
            </w:r>
          </w:p>
        </w:tc>
        <w:tc>
          <w:tcPr>
            <w:tcW w:w="1271" w:type="dxa"/>
            <w:shd w:val="clear" w:color="000000" w:fill="FFFFFF"/>
            <w:vAlign w:val="center"/>
          </w:tcPr>
          <w:p w14:paraId="3970F5F0">
            <w:pPr>
              <w:spacing w:line="360" w:lineRule="auto"/>
              <w:jc w:val="center"/>
              <w:rPr>
                <w:rStyle w:val="41"/>
                <w:rFonts w:ascii="宋体" w:hAnsi="宋体" w:cs="宋体"/>
                <w:kern w:val="0"/>
                <w:szCs w:val="21"/>
              </w:rPr>
            </w:pPr>
            <w:r>
              <w:rPr>
                <w:rFonts w:hint="eastAsia" w:ascii="宋体" w:hAnsi="宋体" w:cs="宋体"/>
                <w:szCs w:val="21"/>
              </w:rPr>
              <w:t>930000.00</w:t>
            </w:r>
          </w:p>
        </w:tc>
        <w:tc>
          <w:tcPr>
            <w:tcW w:w="3119" w:type="dxa"/>
            <w:shd w:val="clear" w:color="000000" w:fill="FFFFFF"/>
            <w:vAlign w:val="center"/>
          </w:tcPr>
          <w:p w14:paraId="290FD08C">
            <w:pPr>
              <w:spacing w:line="360" w:lineRule="auto"/>
              <w:jc w:val="center"/>
              <w:rPr>
                <w:rFonts w:ascii="宋体" w:hAnsi="宋体" w:cs="宋体"/>
                <w:b/>
                <w:szCs w:val="21"/>
              </w:rPr>
            </w:pPr>
            <w:r>
              <w:rPr>
                <w:rFonts w:hint="eastAsia" w:ascii="宋体" w:hAnsi="宋体" w:cs="宋体"/>
                <w:bCs/>
                <w:szCs w:val="21"/>
              </w:rPr>
              <w:t>拟采购上海智慧知到网络科技有限公司（智慧树）的教学资源库建设服务，依托平台内具备教学使用记录、优质教学资源及完整学习七门机械类核心课程，系统升级打适配专业教学需求的机械类智慧课程教学资源库。</w:t>
            </w:r>
          </w:p>
        </w:tc>
      </w:tr>
      <w:bookmarkEnd w:id="34"/>
      <w:bookmarkEnd w:id="36"/>
    </w:tbl>
    <w:p w14:paraId="61838108">
      <w:pPr>
        <w:spacing w:line="360" w:lineRule="auto"/>
        <w:ind w:firstLine="422"/>
        <w:rPr>
          <w:rFonts w:ascii="宋体" w:hAnsi="宋体" w:cs="宋体"/>
          <w:b/>
          <w:bCs/>
          <w:szCs w:val="21"/>
        </w:rPr>
      </w:pPr>
      <w:r>
        <w:rPr>
          <w:rFonts w:hint="eastAsia" w:ascii="宋体" w:hAnsi="宋体" w:cs="宋体"/>
          <w:b/>
          <w:bCs/>
          <w:szCs w:val="21"/>
        </w:rPr>
        <w:t>注：</w:t>
      </w:r>
    </w:p>
    <w:p w14:paraId="458E12B6">
      <w:pPr>
        <w:spacing w:line="360" w:lineRule="auto"/>
        <w:ind w:firstLine="420" w:firstLineChars="200"/>
        <w:rPr>
          <w:rFonts w:ascii="宋体" w:hAnsi="宋体" w:cs="宋体"/>
          <w:szCs w:val="21"/>
        </w:rPr>
      </w:pPr>
      <w:r>
        <w:rPr>
          <w:rFonts w:hint="eastAsia" w:ascii="宋体" w:hAnsi="宋体" w:cs="宋体"/>
          <w:bCs/>
          <w:szCs w:val="21"/>
        </w:rPr>
        <w:t>（1）本项目共设</w:t>
      </w:r>
      <w:r>
        <w:rPr>
          <w:rFonts w:hint="eastAsia" w:ascii="宋体" w:hAnsi="宋体" w:cs="宋体"/>
          <w:b/>
          <w:szCs w:val="21"/>
          <w:u w:val="single"/>
        </w:rPr>
        <w:t>1</w:t>
      </w:r>
      <w:r>
        <w:rPr>
          <w:rFonts w:hint="eastAsia" w:ascii="宋体" w:hAnsi="宋体" w:cs="宋体"/>
          <w:bCs/>
          <w:szCs w:val="21"/>
        </w:rPr>
        <w:t>个标段，供应商</w:t>
      </w:r>
      <w:r>
        <w:rPr>
          <w:rFonts w:hint="eastAsia" w:ascii="宋体" w:hAnsi="宋体" w:cs="宋体"/>
          <w:szCs w:val="21"/>
        </w:rPr>
        <w:t>必须对所参与标段内所有内容作出完整唯一的报价，且不得出现缺项、漏项或无报价情况，否则响应文件将按无效处理。</w:t>
      </w:r>
    </w:p>
    <w:p w14:paraId="55A70FD0">
      <w:pPr>
        <w:spacing w:line="360" w:lineRule="auto"/>
        <w:ind w:firstLine="420"/>
        <w:rPr>
          <w:rFonts w:ascii="宋体" w:hAnsi="宋体"/>
          <w:szCs w:val="21"/>
        </w:rPr>
      </w:pPr>
      <w:r>
        <w:rPr>
          <w:rFonts w:hint="eastAsia" w:hAnsi="宋体"/>
          <w:bCs/>
          <w:szCs w:val="21"/>
        </w:rPr>
        <w:t>（2）具体要求等详见本</w:t>
      </w:r>
      <w:r>
        <w:rPr>
          <w:rFonts w:hint="eastAsia" w:ascii="宋体" w:hAnsi="宋体"/>
          <w:szCs w:val="21"/>
        </w:rPr>
        <w:t>单一来源采购文件</w:t>
      </w:r>
      <w:r>
        <w:rPr>
          <w:rFonts w:hint="eastAsia" w:hAnsi="宋体"/>
          <w:bCs/>
          <w:szCs w:val="21"/>
        </w:rPr>
        <w:t>第五章《采购需求》。</w:t>
      </w:r>
    </w:p>
    <w:p w14:paraId="7F7E3667">
      <w:pPr>
        <w:spacing w:line="360" w:lineRule="auto"/>
        <w:ind w:firstLine="420" w:firstLineChars="200"/>
        <w:rPr>
          <w:rFonts w:ascii="宋体" w:hAnsi="宋体"/>
          <w:b/>
          <w:bCs/>
          <w:szCs w:val="21"/>
        </w:rPr>
      </w:pPr>
      <w:bookmarkStart w:id="37" w:name="_Toc28774"/>
      <w:bookmarkStart w:id="38" w:name="_Toc86124035"/>
      <w:bookmarkStart w:id="39" w:name="_Toc490305678"/>
      <w:bookmarkStart w:id="40" w:name="_Toc12884"/>
      <w:bookmarkStart w:id="41" w:name="_Toc462330057"/>
      <w:r>
        <w:rPr>
          <w:rFonts w:hint="eastAsia" w:ascii="宋体" w:hAnsi="宋体"/>
          <w:b/>
          <w:bCs/>
          <w:szCs w:val="21"/>
        </w:rPr>
        <w:t>7.合同履行期限（服务期限）：</w:t>
      </w:r>
      <w:bookmarkStart w:id="42" w:name="_Hlk231514616"/>
      <w:r>
        <w:rPr>
          <w:rFonts w:hint="eastAsia" w:ascii="宋体" w:hAnsi="宋体"/>
          <w:b/>
          <w:bCs/>
          <w:szCs w:val="21"/>
        </w:rPr>
        <w:t>合同签订后40个日历天内完成。</w:t>
      </w:r>
    </w:p>
    <w:bookmarkEnd w:id="42"/>
    <w:p w14:paraId="6AC7F260">
      <w:pPr>
        <w:spacing w:line="360" w:lineRule="auto"/>
        <w:ind w:firstLine="420" w:firstLineChars="200"/>
      </w:pPr>
      <w:bookmarkStart w:id="43" w:name="OLE_LINK25"/>
      <w:bookmarkStart w:id="44" w:name="OLE_LINK26"/>
      <w:r>
        <w:rPr>
          <w:rFonts w:hint="eastAsia" w:ascii="宋体" w:hAnsi="宋体"/>
          <w:b/>
          <w:bCs/>
          <w:szCs w:val="21"/>
        </w:rPr>
        <w:t>8.</w:t>
      </w:r>
      <w:bookmarkEnd w:id="43"/>
      <w:r>
        <w:rPr>
          <w:rFonts w:hint="eastAsia" w:ascii="宋体" w:hAnsi="宋体"/>
          <w:b/>
          <w:bCs/>
          <w:szCs w:val="21"/>
        </w:rPr>
        <w:t>服务地点：</w:t>
      </w:r>
      <w:bookmarkEnd w:id="44"/>
      <w:r>
        <w:rPr>
          <w:rFonts w:hint="eastAsia" w:ascii="宋体" w:hAnsi="宋体"/>
          <w:b/>
          <w:bCs/>
          <w:szCs w:val="21"/>
        </w:rPr>
        <w:t>西南林业大学指定地点。</w:t>
      </w:r>
    </w:p>
    <w:p w14:paraId="4F3AB2F1">
      <w:pPr>
        <w:spacing w:line="360" w:lineRule="auto"/>
        <w:ind w:firstLine="420" w:firstLineChars="200"/>
        <w:rPr>
          <w:rFonts w:ascii="宋体" w:hAnsi="宋体"/>
          <w:szCs w:val="21"/>
        </w:rPr>
      </w:pPr>
      <w:r>
        <w:rPr>
          <w:rFonts w:hint="eastAsia" w:ascii="宋体" w:hAnsi="宋体"/>
          <w:szCs w:val="21"/>
        </w:rPr>
        <w:t>9.本项目</w:t>
      </w:r>
      <w:r>
        <w:rPr>
          <w:rFonts w:hint="eastAsia" w:hAnsi="宋体"/>
          <w:b/>
          <w:bCs/>
          <w:szCs w:val="21"/>
          <w:u w:val="single"/>
        </w:rPr>
        <w:t>不接受</w:t>
      </w:r>
      <w:r>
        <w:rPr>
          <w:rFonts w:hint="eastAsia" w:ascii="宋体" w:hAnsi="宋体"/>
          <w:szCs w:val="21"/>
        </w:rPr>
        <w:t>联合体。</w:t>
      </w:r>
    </w:p>
    <w:p w14:paraId="2308B886">
      <w:pPr>
        <w:spacing w:line="360" w:lineRule="auto"/>
        <w:outlineLvl w:val="1"/>
        <w:rPr>
          <w:rFonts w:ascii="黑体" w:hAnsi="黑体" w:eastAsia="黑体" w:cs="黑体"/>
          <w:b/>
          <w:snapToGrid w:val="0"/>
          <w:kern w:val="21"/>
          <w:sz w:val="28"/>
          <w:szCs w:val="28"/>
        </w:rPr>
      </w:pPr>
      <w:r>
        <w:rPr>
          <w:rFonts w:hint="eastAsia" w:ascii="黑体" w:hAnsi="黑体" w:eastAsia="黑体" w:cs="黑体"/>
          <w:b/>
          <w:snapToGrid w:val="0"/>
          <w:kern w:val="21"/>
          <w:sz w:val="28"/>
          <w:szCs w:val="28"/>
        </w:rPr>
        <w:t>三、供应商资格要求</w:t>
      </w:r>
      <w:bookmarkEnd w:id="37"/>
      <w:bookmarkEnd w:id="38"/>
      <w:bookmarkEnd w:id="39"/>
      <w:bookmarkEnd w:id="40"/>
      <w:bookmarkEnd w:id="41"/>
    </w:p>
    <w:p w14:paraId="182B7686">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bookmarkStart w:id="45" w:name="_Toc86124036"/>
      <w:bookmarkStart w:id="46" w:name="_Toc462330058"/>
      <w:bookmarkStart w:id="47" w:name="_Toc9763"/>
      <w:bookmarkStart w:id="48" w:name="_Toc498050623"/>
      <w:bookmarkStart w:id="49" w:name="_Toc490305679"/>
      <w:bookmarkStart w:id="50" w:name="_Toc18510"/>
      <w:r>
        <w:rPr>
          <w:rFonts w:hint="eastAsia" w:ascii="宋体" w:hAnsi="宋体" w:cs="宋体"/>
          <w:color w:val="000000" w:themeColor="text1"/>
          <w:szCs w:val="21"/>
          <w14:textFill>
            <w14:solidFill>
              <w14:schemeClr w14:val="tx1"/>
            </w14:solidFill>
          </w14:textFill>
        </w:rPr>
        <w:t>1.供应商</w:t>
      </w:r>
      <w:r>
        <w:rPr>
          <w:rFonts w:hint="eastAsia" w:ascii="宋体" w:hAnsi="宋体" w:cs="宋体"/>
          <w:color w:val="000000" w:themeColor="text1"/>
          <w:kern w:val="0"/>
          <w:szCs w:val="21"/>
          <w14:textFill>
            <w14:solidFill>
              <w14:schemeClr w14:val="tx1"/>
            </w14:solidFill>
          </w14:textFill>
        </w:rPr>
        <w:t>须具有独立承担民事责任的能力，供应商为法人、其他组织或者自然人，提供有效的营业执照或事业单位法人证书或民办非企业登记证书或执业许可证或社会团体登记证或自然人身份证明；（</w:t>
      </w:r>
      <w:r>
        <w:rPr>
          <w:rFonts w:hint="eastAsia" w:ascii="宋体" w:hAnsi="宋体" w:cs="宋体"/>
          <w:b/>
          <w:bCs/>
          <w:color w:val="000000" w:themeColor="text1"/>
          <w:kern w:val="0"/>
          <w:szCs w:val="21"/>
          <w14:textFill>
            <w14:solidFill>
              <w14:schemeClr w14:val="tx1"/>
            </w14:solidFill>
          </w14:textFill>
        </w:rPr>
        <w:t>A.</w:t>
      </w:r>
      <w:r>
        <w:rPr>
          <w:rFonts w:hint="eastAsia" w:ascii="宋体" w:hAnsi="宋体" w:cs="宋体"/>
          <w:color w:val="000000" w:themeColor="text1"/>
          <w:kern w:val="0"/>
          <w:szCs w:val="21"/>
          <w14:textFill>
            <w14:solidFill>
              <w14:schemeClr w14:val="tx1"/>
            </w14:solidFill>
          </w14:textFill>
        </w:rPr>
        <w:t>若供应商是企业，提供有效的“营业执照”；</w:t>
      </w:r>
      <w:r>
        <w:rPr>
          <w:rFonts w:hint="eastAsia" w:ascii="宋体" w:hAnsi="宋体" w:cs="宋体"/>
          <w:b/>
          <w:bCs/>
          <w:color w:val="000000" w:themeColor="text1"/>
          <w:kern w:val="0"/>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若供应商是事业单位，提供有效的“事业单位法人证书”；</w:t>
      </w:r>
      <w:r>
        <w:rPr>
          <w:rFonts w:hint="eastAsia" w:ascii="宋体" w:hAnsi="宋体" w:cs="宋体"/>
          <w:b/>
          <w:bCs/>
          <w:color w:val="000000" w:themeColor="text1"/>
          <w:kern w:val="0"/>
          <w:szCs w:val="21"/>
          <w14:textFill>
            <w14:solidFill>
              <w14:schemeClr w14:val="tx1"/>
            </w14:solidFill>
          </w14:textFill>
        </w:rPr>
        <w:t>C.</w:t>
      </w:r>
      <w:r>
        <w:rPr>
          <w:rFonts w:hint="eastAsia" w:ascii="宋体" w:hAnsi="宋体" w:cs="宋体"/>
          <w:color w:val="000000" w:themeColor="text1"/>
          <w:kern w:val="0"/>
          <w:szCs w:val="21"/>
          <w14:textFill>
            <w14:solidFill>
              <w14:schemeClr w14:val="tx1"/>
            </w14:solidFill>
          </w14:textFill>
        </w:rPr>
        <w:t>若供应商是非企业专业服务机构的，提供有效的法定证明文件；</w:t>
      </w:r>
      <w:r>
        <w:rPr>
          <w:rFonts w:hint="eastAsia" w:ascii="宋体" w:hAnsi="宋体" w:cs="宋体"/>
          <w:b/>
          <w:bCs/>
          <w:color w:val="000000" w:themeColor="text1"/>
          <w:kern w:val="0"/>
          <w:szCs w:val="21"/>
          <w14:textFill>
            <w14:solidFill>
              <w14:schemeClr w14:val="tx1"/>
            </w14:solidFill>
          </w14:textFill>
        </w:rPr>
        <w:t>D.</w:t>
      </w:r>
      <w:r>
        <w:rPr>
          <w:rFonts w:hint="eastAsia" w:ascii="宋体" w:hAnsi="宋体" w:cs="宋体"/>
          <w:color w:val="000000" w:themeColor="text1"/>
          <w:kern w:val="0"/>
          <w:szCs w:val="21"/>
          <w14:textFill>
            <w14:solidFill>
              <w14:schemeClr w14:val="tx1"/>
            </w14:solidFill>
          </w14:textFill>
        </w:rPr>
        <w:t>若供应商是个体工商户，提供有效的“个体工商户营业执照</w:t>
      </w:r>
      <w:bookmarkStart w:id="558" w:name="_GoBack"/>
      <w:bookmarkEnd w:id="558"/>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b/>
          <w:bCs/>
          <w:color w:val="000000" w:themeColor="text1"/>
          <w:kern w:val="0"/>
          <w:szCs w:val="21"/>
          <w14:textFill>
            <w14:solidFill>
              <w14:schemeClr w14:val="tx1"/>
            </w14:solidFill>
          </w14:textFill>
        </w:rPr>
        <w:t>E.</w:t>
      </w:r>
      <w:r>
        <w:rPr>
          <w:rFonts w:hint="eastAsia" w:ascii="宋体" w:hAnsi="宋体" w:cs="宋体"/>
          <w:color w:val="000000" w:themeColor="text1"/>
          <w:kern w:val="0"/>
          <w:szCs w:val="21"/>
          <w14:textFill>
            <w14:solidFill>
              <w14:schemeClr w14:val="tx1"/>
            </w14:solidFill>
          </w14:textFill>
        </w:rPr>
        <w:t>若供应商是自然人，提供有效的自然人身份证明）</w:t>
      </w:r>
      <w:r>
        <w:rPr>
          <w:rFonts w:hint="eastAsia" w:ascii="宋体" w:hAnsi="宋体" w:cs="宋体"/>
          <w:color w:val="000000" w:themeColor="text1"/>
          <w:szCs w:val="21"/>
          <w14:textFill>
            <w14:solidFill>
              <w14:schemeClr w14:val="tx1"/>
            </w14:solidFill>
          </w14:textFill>
        </w:rPr>
        <w:t>；</w:t>
      </w:r>
    </w:p>
    <w:p w14:paraId="7B0F4801">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2.供应商须具有良好的商业信誉和健全的财务会计制度：</w:t>
      </w:r>
    </w:p>
    <w:p w14:paraId="5B92D118">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2.1良好的商业信誉指：供应商在本项目响应文件提交截止时间前，在“中国政府采购网（</w:t>
      </w:r>
      <w:r>
        <w:fldChar w:fldCharType="begin"/>
      </w:r>
      <w:r>
        <w:instrText xml:space="preserve"> HYPERLINK \t "_blank" </w:instrText>
      </w:r>
      <w:r>
        <w:fldChar w:fldCharType="separate"/>
      </w:r>
      <w:r>
        <w:rPr>
          <w:rFonts w:hint="eastAsia" w:ascii="宋体" w:hAnsi="宋体" w:cs="宋体"/>
          <w:color w:val="000000" w:themeColor="text1"/>
          <w:szCs w:val="21"/>
          <w14:textFill>
            <w14:solidFill>
              <w14:schemeClr w14:val="tx1"/>
            </w14:solidFill>
          </w14:textFill>
        </w:rPr>
        <w:t>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代理机构查询结果为准）</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w:t>
      </w:r>
    </w:p>
    <w:p w14:paraId="1F50E965">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2.2健全的财务会计制度指：</w:t>
      </w:r>
    </w:p>
    <w:p w14:paraId="0989B015">
      <w:pPr>
        <w:widowControl/>
        <w:spacing w:line="360" w:lineRule="auto"/>
        <w:ind w:firstLine="420" w:firstLineChars="200"/>
        <w:jc w:val="left"/>
        <w:rPr>
          <w:rFonts w:hAnsi="宋体" w:cs="宋体"/>
          <w:szCs w:val="21"/>
        </w:rPr>
      </w:pPr>
      <w:r>
        <w:rPr>
          <w:rFonts w:hint="eastAsia" w:ascii="宋体" w:hAnsi="宋体" w:cs="宋体"/>
          <w:b/>
          <w:bCs/>
          <w:color w:val="000000" w:themeColor="text1"/>
          <w:kern w:val="0"/>
          <w:szCs w:val="21"/>
          <w14:textFill>
            <w14:solidFill>
              <w14:schemeClr w14:val="tx1"/>
            </w14:solidFill>
          </w14:textFill>
        </w:rPr>
        <w:t>A.</w:t>
      </w:r>
      <w:r>
        <w:rPr>
          <w:rFonts w:hint="eastAsia" w:hAnsi="宋体" w:cs="宋体"/>
          <w:szCs w:val="21"/>
        </w:rPr>
        <w:t>供应商须提供2024年度或2025年度经第三方审计的财务报表及审计报告（注：提供的财务报表包括资产负债表、现金流量表、利润表（损益表）、所有者权益变动表及其附注</w:t>
      </w:r>
      <w:r>
        <w:rPr>
          <w:rFonts w:hint="eastAsia" w:ascii="宋体" w:hAnsi="宋体" w:cs="宋体"/>
          <w:kern w:val="0"/>
        </w:rPr>
        <w:t>，财务会计报告须附注册会计师行业统一监管平台验证码</w:t>
      </w:r>
      <w:r>
        <w:rPr>
          <w:rFonts w:hint="eastAsia" w:hAnsi="宋体" w:cs="宋体"/>
          <w:szCs w:val="21"/>
        </w:rPr>
        <w:t>；事业单位可提供内部财务报表；新成立企业，若成立时</w:t>
      </w:r>
      <w:bookmarkStart w:id="51" w:name="OLE_LINK300"/>
      <w:r>
        <w:rPr>
          <w:rFonts w:hint="eastAsia" w:hAnsi="宋体" w:cs="宋体"/>
          <w:szCs w:val="21"/>
        </w:rPr>
        <w:t>间至本项目</w:t>
      </w:r>
      <w:bookmarkStart w:id="52" w:name="OLE_LINK299"/>
      <w:r>
        <w:rPr>
          <w:rFonts w:hint="eastAsia" w:hAnsi="宋体" w:cs="宋体"/>
          <w:szCs w:val="21"/>
        </w:rPr>
        <w:t>提交</w:t>
      </w:r>
      <w:bookmarkEnd w:id="51"/>
      <w:r>
        <w:rPr>
          <w:rFonts w:hint="eastAsia" w:hAnsi="宋体" w:cs="宋体"/>
          <w:szCs w:val="21"/>
        </w:rPr>
        <w:t>响应文件截止时间不满1年的可提供</w:t>
      </w:r>
      <w:bookmarkEnd w:id="52"/>
      <w:r>
        <w:rPr>
          <w:rFonts w:hint="eastAsia" w:hAnsi="宋体" w:cs="宋体"/>
          <w:szCs w:val="21"/>
        </w:rPr>
        <w:t xml:space="preserve">成立至今的财务报表。 </w:t>
      </w:r>
    </w:p>
    <w:p w14:paraId="19B0A756">
      <w:pPr>
        <w:widowControl/>
        <w:spacing w:line="360" w:lineRule="auto"/>
        <w:ind w:firstLine="420" w:firstLineChars="200"/>
        <w:jc w:val="left"/>
        <w:rPr>
          <w:rFonts w:hAnsi="宋体" w:cs="宋体"/>
          <w:szCs w:val="21"/>
        </w:rPr>
      </w:pPr>
      <w:r>
        <w:rPr>
          <w:rFonts w:hint="eastAsia" w:ascii="宋体" w:hAnsi="宋体" w:cs="宋体"/>
          <w:b/>
          <w:bCs/>
          <w:color w:val="000000" w:themeColor="text1"/>
          <w:kern w:val="0"/>
          <w:szCs w:val="21"/>
          <w14:textFill>
            <w14:solidFill>
              <w14:schemeClr w14:val="tx1"/>
            </w14:solidFill>
          </w14:textFill>
        </w:rPr>
        <w:t>B.</w:t>
      </w:r>
      <w:r>
        <w:rPr>
          <w:rFonts w:hint="eastAsia" w:hAnsi="宋体" w:cs="宋体"/>
          <w:szCs w:val="21"/>
        </w:rPr>
        <w:t>供应商须提供在提交响应文件截止时间前三个月内银行开具的资信证明；（银行出具的资信证明无需针对本项目或本项目采购人）。</w:t>
      </w:r>
    </w:p>
    <w:p w14:paraId="7FA09DD9">
      <w:pPr>
        <w:widowControl/>
        <w:spacing w:line="360" w:lineRule="auto"/>
        <w:ind w:firstLine="420" w:firstLineChars="200"/>
        <w:jc w:val="left"/>
        <w:rPr>
          <w:rFonts w:hAnsi="宋体" w:cs="宋体"/>
          <w:szCs w:val="21"/>
        </w:rPr>
      </w:pPr>
      <w:r>
        <w:rPr>
          <w:rFonts w:hint="eastAsia" w:hAnsi="宋体" w:cs="宋体"/>
          <w:szCs w:val="21"/>
        </w:rPr>
        <w:t>备注：以上</w:t>
      </w:r>
      <w:r>
        <w:rPr>
          <w:rFonts w:hint="eastAsia" w:ascii="宋体" w:hAnsi="宋体" w:cs="宋体"/>
          <w:b/>
          <w:bCs/>
          <w:color w:val="000000" w:themeColor="text1"/>
          <w:kern w:val="0"/>
          <w:szCs w:val="21"/>
          <w14:textFill>
            <w14:solidFill>
              <w14:schemeClr w14:val="tx1"/>
            </w14:solidFill>
          </w14:textFill>
        </w:rPr>
        <w:t>A</w:t>
      </w:r>
      <w:r>
        <w:rPr>
          <w:rFonts w:hint="eastAsia" w:hAnsi="宋体" w:cs="宋体"/>
          <w:szCs w:val="21"/>
        </w:rPr>
        <w:t>、</w:t>
      </w:r>
      <w:r>
        <w:rPr>
          <w:rFonts w:hint="eastAsia" w:ascii="宋体" w:hAnsi="宋体" w:cs="宋体"/>
          <w:b/>
          <w:bCs/>
          <w:color w:val="000000" w:themeColor="text1"/>
          <w:kern w:val="0"/>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两</w:t>
      </w:r>
      <w:r>
        <w:rPr>
          <w:rFonts w:hint="eastAsia" w:hAnsi="宋体" w:cs="宋体"/>
          <w:szCs w:val="21"/>
        </w:rPr>
        <w:t>项证明材料具有同等效力，供应商可根据自身情况提供上述任意一种证明材料。</w:t>
      </w:r>
    </w:p>
    <w:p w14:paraId="1B84690E">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3.供应商须具有履行合同所必需的设备和专业技术能力：供应商须提供具有履行合同所必需的设备和专业技术能力证明材料或书面声明；</w:t>
      </w:r>
    </w:p>
    <w:p w14:paraId="4C311CE6">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4.供应商须具有依法缴纳税收和社会保障资金的良好记录：</w:t>
      </w:r>
    </w:p>
    <w:p w14:paraId="3A98F643">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供应商须提供缴税所属时间在提交响应文件截止之日前十二个月内任意连续2个月的税务局税收通用缴款书复印件或银行电子缴税（费）凭证复印件或税务局出具纳税情况的相关证明，新成立企业，成立时间不足6个月的提供自成立以来的税务局税收通用缴款书复印件或银行电子缴税（费）凭证复印件或税务局出具纳税情况的相关证明。供应商依法免税的，应提供依法免税的相关证明文件；</w:t>
      </w:r>
    </w:p>
    <w:p w14:paraId="238A2575">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w:t>
      </w:r>
      <w:r>
        <w:rPr>
          <w:rFonts w:hint="eastAsia" w:hAnsi="宋体" w:cs="宋体"/>
          <w:szCs w:val="21"/>
        </w:rPr>
        <w:t>供应商须提供缴费所属时间在提交响应文件截止之日前十二个月内任意连续2个月的社会保险费缴款书复印件或银行电子缴税（费）凭证复印件或社保管理部门出具的有效的缴款证明，新成立企业，成立时间不足6个月的提供自成立以来的社会保险费缴款书复印件或银行电子缴税（费）凭证复印件或社保管理部门出具的有效的缴款证明。供应商依法免缴的，应提供依法免缴的相关证明文件</w:t>
      </w:r>
      <w:r>
        <w:rPr>
          <w:rFonts w:hint="eastAsia" w:ascii="宋体" w:hAnsi="宋体" w:cs="宋体"/>
          <w:color w:val="000000" w:themeColor="text1"/>
          <w:szCs w:val="21"/>
          <w14:textFill>
            <w14:solidFill>
              <w14:schemeClr w14:val="tx1"/>
            </w14:solidFill>
          </w14:textFill>
        </w:rPr>
        <w:t>；</w:t>
      </w:r>
    </w:p>
    <w:p w14:paraId="2BCDBAD9">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5.供应商参加采购活动前三年内，在经营活动中没有重大违法记录（重大违法记录，是指供应商因违法经营受到刑事处罚或者责令停产停业、吊销许可证或者执照、较大数额罚款等行政处罚）的书面声明；</w:t>
      </w:r>
    </w:p>
    <w:p w14:paraId="5FC12EB1">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6.法律、行政法规规定的其他条件：</w:t>
      </w:r>
    </w:p>
    <w:p w14:paraId="2FFF3CB6">
      <w:pPr>
        <w:widowControl/>
        <w:tabs>
          <w:tab w:val="left" w:pos="5810"/>
        </w:tabs>
        <w:spacing w:line="460" w:lineRule="exact"/>
        <w:ind w:firstLine="420"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6.1单位负责人为同一人或者存在直接控股、管理关系的不同投标人，不得参加同一合同项下的政府采购活动（提供声明书）。</w:t>
      </w:r>
    </w:p>
    <w:p w14:paraId="27585653">
      <w:pPr>
        <w:spacing w:line="460" w:lineRule="atLeas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6.2为本采购项目提供整体设计、规范编制或者项目管理、监理、检测等服务的投标人，不得再参加本采购项目的其他采购活动（提供声明书）。</w:t>
      </w:r>
    </w:p>
    <w:p w14:paraId="1C0824D4">
      <w:pPr>
        <w:widowControl/>
        <w:spacing w:line="500" w:lineRule="exact"/>
        <w:ind w:firstLine="413" w:firstLineChars="197"/>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7.本项目的特定资格要求：无。</w:t>
      </w:r>
    </w:p>
    <w:p w14:paraId="53A27F28">
      <w:pPr>
        <w:widowControl/>
        <w:spacing w:line="500" w:lineRule="exact"/>
        <w:ind w:firstLine="413" w:firstLineChars="197"/>
        <w:jc w:val="left"/>
        <w:rPr>
          <w:rFonts w:ascii="宋体" w:hAnsi="宋体"/>
          <w:szCs w:val="21"/>
        </w:rPr>
      </w:pPr>
      <w:r>
        <w:rPr>
          <w:rFonts w:hint="eastAsia" w:ascii="宋体" w:hAnsi="宋体" w:cs="宋体"/>
          <w:color w:val="000000" w:themeColor="text1"/>
          <w:szCs w:val="21"/>
          <w14:textFill>
            <w14:solidFill>
              <w14:schemeClr w14:val="tx1"/>
            </w14:solidFill>
          </w14:textFill>
        </w:rPr>
        <w:t>8.本次不接受联合体参加。</w:t>
      </w:r>
    </w:p>
    <w:bookmarkEnd w:id="45"/>
    <w:bookmarkEnd w:id="46"/>
    <w:bookmarkEnd w:id="47"/>
    <w:bookmarkEnd w:id="48"/>
    <w:bookmarkEnd w:id="49"/>
    <w:bookmarkEnd w:id="50"/>
    <w:p w14:paraId="7CF70269">
      <w:pPr>
        <w:spacing w:line="360" w:lineRule="auto"/>
        <w:outlineLvl w:val="1"/>
        <w:rPr>
          <w:rFonts w:ascii="黑体" w:hAnsi="黑体" w:eastAsia="黑体" w:cs="黑体"/>
          <w:b/>
          <w:sz w:val="28"/>
          <w:szCs w:val="28"/>
        </w:rPr>
      </w:pPr>
      <w:bookmarkStart w:id="53" w:name="_Toc24075"/>
      <w:r>
        <w:rPr>
          <w:rFonts w:hint="eastAsia" w:ascii="黑体" w:hAnsi="黑体" w:eastAsia="黑体" w:cs="黑体"/>
          <w:b/>
          <w:sz w:val="28"/>
          <w:szCs w:val="28"/>
        </w:rPr>
        <w:t>四、获取</w:t>
      </w:r>
      <w:bookmarkStart w:id="54" w:name="OLE_LINK130"/>
      <w:r>
        <w:rPr>
          <w:rFonts w:hint="eastAsia" w:ascii="黑体" w:hAnsi="黑体" w:eastAsia="黑体" w:cs="黑体"/>
          <w:b/>
          <w:sz w:val="28"/>
          <w:szCs w:val="28"/>
        </w:rPr>
        <w:t>采购文件</w:t>
      </w:r>
      <w:bookmarkEnd w:id="53"/>
      <w:bookmarkEnd w:id="54"/>
    </w:p>
    <w:p w14:paraId="04CEE1A7">
      <w:pPr>
        <w:spacing w:line="360" w:lineRule="auto"/>
        <w:ind w:firstLine="540"/>
        <w:rPr>
          <w:rFonts w:ascii="宋体" w:hAnsi="宋体" w:cs="宋体"/>
          <w:szCs w:val="21"/>
        </w:rPr>
      </w:pPr>
      <w:r>
        <w:rPr>
          <w:rFonts w:hint="eastAsia" w:ascii="宋体" w:hAnsi="宋体" w:cs="宋体"/>
          <w:b/>
          <w:bCs/>
          <w:szCs w:val="21"/>
        </w:rPr>
        <w:t>时间：</w:t>
      </w:r>
      <w:bookmarkStart w:id="55" w:name="OLE_LINK131"/>
      <w:r>
        <w:rPr>
          <w:rFonts w:hint="eastAsia" w:ascii="宋体" w:hAnsi="宋体" w:cs="宋体"/>
          <w:szCs w:val="21"/>
        </w:rPr>
        <w:t>2026年</w:t>
      </w:r>
      <w:r>
        <w:rPr>
          <w:rFonts w:hint="eastAsia" w:ascii="宋体" w:hAnsi="宋体" w:cs="宋体"/>
          <w:szCs w:val="21"/>
          <w:lang w:val="en-US" w:eastAsia="zh-CN"/>
        </w:rPr>
        <w:t>06</w:t>
      </w:r>
      <w:r>
        <w:rPr>
          <w:rFonts w:hint="eastAsia" w:ascii="宋体" w:hAnsi="宋体" w:cs="宋体"/>
          <w:szCs w:val="21"/>
        </w:rPr>
        <w:t>月</w:t>
      </w:r>
      <w:r>
        <w:rPr>
          <w:rFonts w:hint="eastAsia" w:ascii="宋体" w:hAnsi="宋体" w:cs="宋体"/>
          <w:szCs w:val="21"/>
          <w:lang w:val="en-US" w:eastAsia="zh-CN"/>
        </w:rPr>
        <w:t>23</w:t>
      </w:r>
      <w:r>
        <w:rPr>
          <w:rFonts w:hint="eastAsia" w:ascii="宋体" w:hAnsi="宋体" w:cs="宋体"/>
          <w:szCs w:val="21"/>
        </w:rPr>
        <w:t>日至202</w:t>
      </w:r>
      <w:r>
        <w:rPr>
          <w:rFonts w:ascii="宋体" w:hAnsi="宋体" w:cs="宋体"/>
          <w:szCs w:val="21"/>
        </w:rPr>
        <w:t>6</w:t>
      </w:r>
      <w:r>
        <w:rPr>
          <w:rFonts w:hint="eastAsia" w:ascii="宋体" w:hAnsi="宋体" w:cs="宋体"/>
          <w:szCs w:val="21"/>
        </w:rPr>
        <w:t>年</w:t>
      </w:r>
      <w:r>
        <w:rPr>
          <w:rFonts w:hint="eastAsia" w:ascii="宋体" w:hAnsi="宋体" w:cs="宋体"/>
          <w:szCs w:val="21"/>
          <w:lang w:val="en-US" w:eastAsia="zh-CN"/>
        </w:rPr>
        <w:t>06</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日每天上午06:00至12:00，下午12:00至23:59（北京时间）</w:t>
      </w:r>
      <w:bookmarkEnd w:id="55"/>
      <w:r>
        <w:rPr>
          <w:rFonts w:hint="eastAsia" w:ascii="宋体" w:hAnsi="宋体" w:cs="宋体"/>
          <w:szCs w:val="21"/>
        </w:rPr>
        <w:t>。</w:t>
      </w:r>
    </w:p>
    <w:p w14:paraId="5180AD95">
      <w:pPr>
        <w:spacing w:line="360" w:lineRule="auto"/>
        <w:ind w:firstLine="420" w:firstLineChars="200"/>
        <w:jc w:val="left"/>
        <w:rPr>
          <w:rFonts w:ascii="宋体" w:hAnsi="宋体" w:cs="宋体"/>
          <w:szCs w:val="21"/>
        </w:rPr>
      </w:pPr>
      <w:r>
        <w:rPr>
          <w:rFonts w:hint="eastAsia" w:ascii="宋体" w:hAnsi="宋体" w:cs="宋体"/>
          <w:b/>
          <w:bCs/>
          <w:szCs w:val="21"/>
        </w:rPr>
        <w:t>地点：</w:t>
      </w:r>
      <w:bookmarkStart w:id="56" w:name="OLE_LINK132"/>
      <w:r>
        <w:rPr>
          <w:rFonts w:hint="eastAsia" w:ascii="宋体" w:hAnsi="宋体" w:cs="宋体"/>
          <w:szCs w:val="21"/>
        </w:rPr>
        <w:t>政采云平台（</w:t>
      </w:r>
      <w:r>
        <w:rPr>
          <w:rFonts w:ascii="宋体" w:hAnsi="宋体" w:cs="宋体"/>
          <w:szCs w:val="21"/>
        </w:rPr>
        <w:t>https://www.zcygov.cn/）</w:t>
      </w:r>
      <w:r>
        <w:rPr>
          <w:rFonts w:hint="eastAsia" w:ascii="宋体" w:hAnsi="宋体" w:cs="宋体"/>
          <w:szCs w:val="21"/>
        </w:rPr>
        <w:t>（操作路径：登录政府采购云平台-项目采购-获取采购文件-找到本项目-点击“申请获取采购文件”）</w:t>
      </w:r>
      <w:bookmarkEnd w:id="56"/>
      <w:r>
        <w:rPr>
          <w:rFonts w:hint="eastAsia" w:ascii="宋体" w:hAnsi="宋体" w:cs="宋体"/>
          <w:szCs w:val="21"/>
        </w:rPr>
        <w:t>。</w:t>
      </w:r>
    </w:p>
    <w:p w14:paraId="500A9F03">
      <w:pPr>
        <w:wordWrap w:val="0"/>
        <w:spacing w:line="360" w:lineRule="auto"/>
        <w:ind w:firstLine="420" w:firstLineChars="200"/>
        <w:jc w:val="left"/>
        <w:rPr>
          <w:rFonts w:ascii="宋体" w:hAnsi="宋体" w:cs="宋体"/>
          <w:szCs w:val="21"/>
        </w:rPr>
      </w:pPr>
      <w:r>
        <w:rPr>
          <w:rFonts w:hint="eastAsia" w:ascii="宋体" w:hAnsi="宋体" w:cs="宋体"/>
          <w:b/>
          <w:bCs/>
          <w:szCs w:val="21"/>
        </w:rPr>
        <w:t>方式：</w:t>
      </w:r>
      <w:r>
        <w:rPr>
          <w:rFonts w:hint="eastAsia" w:ascii="宋体" w:hAnsi="宋体" w:cs="宋体"/>
          <w:szCs w:val="21"/>
        </w:rPr>
        <w:t>1.供应商须在政采云平台办理数字证书（CA），并在政采云绑定数字证书（CA）后线上获取单一来源采购文件及其他采购资料。CA申领链接：http://yzt.ynsmartcert.cn/cms/yztynzzhw.html（壹证通客服热线：0871-67276028＜紧急可拨19988166369&gt;）或https://middle.zcygov.cn/ca/apply/list?_app_=zcy.sys（政采云），CA申领后需登录政采云平台完成数字证书（CA）绑定才可以使用，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府采购云平台办理的其他CA可直接使用，无需重复办理；2.</w:t>
      </w:r>
      <w:r>
        <w:rPr>
          <w:rFonts w:ascii="宋体" w:hAnsi="宋体" w:cs="宋体"/>
          <w:szCs w:val="21"/>
        </w:rPr>
        <w:t>按上述要求获取</w:t>
      </w:r>
      <w:r>
        <w:rPr>
          <w:rFonts w:hint="eastAsia" w:ascii="宋体" w:hAnsi="宋体" w:cs="宋体"/>
          <w:szCs w:val="21"/>
        </w:rPr>
        <w:t>单一来源采购文件</w:t>
      </w:r>
      <w:r>
        <w:rPr>
          <w:rFonts w:ascii="宋体" w:hAnsi="宋体" w:cs="宋体"/>
          <w:szCs w:val="21"/>
        </w:rPr>
        <w:t>的</w:t>
      </w:r>
      <w:r>
        <w:rPr>
          <w:rFonts w:hint="eastAsia" w:ascii="宋体" w:hAnsi="宋体" w:cs="宋体"/>
          <w:szCs w:val="21"/>
        </w:rPr>
        <w:t>潜在供应商</w:t>
      </w:r>
      <w:r>
        <w:rPr>
          <w:rFonts w:ascii="宋体" w:hAnsi="宋体" w:cs="宋体"/>
          <w:szCs w:val="21"/>
        </w:rPr>
        <w:t>视为合法获取了本项目</w:t>
      </w:r>
      <w:r>
        <w:rPr>
          <w:rFonts w:hint="eastAsia" w:ascii="宋体" w:hAnsi="宋体" w:cs="宋体"/>
          <w:szCs w:val="21"/>
        </w:rPr>
        <w:t>单一来源采购文件，</w:t>
      </w:r>
      <w:r>
        <w:rPr>
          <w:rFonts w:hint="eastAsia"/>
        </w:rPr>
        <w:t>可以参与本项目协商</w:t>
      </w:r>
      <w:r>
        <w:rPr>
          <w:rFonts w:hint="eastAsia" w:ascii="宋体" w:hAnsi="宋体" w:cs="宋体"/>
          <w:szCs w:val="21"/>
        </w:rPr>
        <w:t>。</w:t>
      </w:r>
    </w:p>
    <w:p w14:paraId="2CFA9325">
      <w:pPr>
        <w:spacing w:line="360" w:lineRule="auto"/>
        <w:ind w:firstLine="403" w:firstLineChars="192"/>
        <w:rPr>
          <w:rFonts w:ascii="宋体" w:hAnsi="宋体"/>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5308DDE1">
      <w:pPr>
        <w:spacing w:line="360" w:lineRule="auto"/>
        <w:outlineLvl w:val="1"/>
        <w:rPr>
          <w:rFonts w:ascii="黑体" w:hAnsi="黑体" w:eastAsia="黑体" w:cs="黑体"/>
          <w:b/>
          <w:sz w:val="28"/>
          <w:szCs w:val="28"/>
        </w:rPr>
      </w:pPr>
      <w:bookmarkStart w:id="57" w:name="_Toc28359082"/>
      <w:bookmarkStart w:id="58" w:name="_Toc28359005"/>
      <w:bookmarkStart w:id="59" w:name="_Toc35393793"/>
      <w:bookmarkStart w:id="60" w:name="_Toc35393624"/>
      <w:bookmarkStart w:id="61" w:name="_Toc31031"/>
      <w:bookmarkStart w:id="62" w:name="_Toc21820"/>
      <w:bookmarkStart w:id="63" w:name="_Toc15462"/>
      <w:bookmarkStart w:id="64" w:name="_Toc498050625"/>
      <w:bookmarkStart w:id="65" w:name="_Toc27637"/>
      <w:bookmarkStart w:id="66" w:name="_Toc25878"/>
      <w:r>
        <w:rPr>
          <w:rFonts w:hint="eastAsia" w:ascii="黑体" w:hAnsi="黑体" w:eastAsia="黑体" w:cs="黑体"/>
          <w:b/>
          <w:sz w:val="28"/>
          <w:szCs w:val="28"/>
        </w:rPr>
        <w:t>五、</w:t>
      </w:r>
      <w:bookmarkEnd w:id="57"/>
      <w:bookmarkEnd w:id="58"/>
      <w:bookmarkStart w:id="67" w:name="OLE_LINK274"/>
      <w:r>
        <w:rPr>
          <w:rFonts w:hint="eastAsia" w:ascii="黑体" w:hAnsi="黑体" w:eastAsia="黑体" w:cs="黑体"/>
          <w:b/>
          <w:sz w:val="28"/>
          <w:szCs w:val="28"/>
        </w:rPr>
        <w:t>响应文件</w:t>
      </w:r>
      <w:bookmarkEnd w:id="59"/>
      <w:bookmarkEnd w:id="60"/>
      <w:r>
        <w:rPr>
          <w:rFonts w:hint="eastAsia" w:ascii="黑体" w:hAnsi="黑体" w:eastAsia="黑体" w:cs="黑体"/>
          <w:b/>
          <w:sz w:val="28"/>
          <w:szCs w:val="28"/>
        </w:rPr>
        <w:t>提交</w:t>
      </w:r>
      <w:bookmarkEnd w:id="61"/>
      <w:bookmarkEnd w:id="62"/>
      <w:bookmarkEnd w:id="63"/>
      <w:bookmarkEnd w:id="67"/>
    </w:p>
    <w:p w14:paraId="2E1697F7">
      <w:pPr>
        <w:spacing w:line="360" w:lineRule="auto"/>
        <w:ind w:firstLine="420"/>
        <w:rPr>
          <w:rFonts w:ascii="宋体" w:hAnsi="宋体" w:cs="宋体"/>
          <w:bCs/>
          <w:szCs w:val="21"/>
          <w:u w:val="single"/>
        </w:rPr>
      </w:pPr>
      <w:r>
        <w:rPr>
          <w:rFonts w:hint="eastAsia" w:ascii="宋体" w:hAnsi="宋体" w:cs="宋体"/>
          <w:b/>
          <w:bCs/>
          <w:szCs w:val="21"/>
        </w:rPr>
        <w:t>截止时间：</w:t>
      </w:r>
      <w:bookmarkStart w:id="68" w:name="OLE_LINK134"/>
      <w:r>
        <w:rPr>
          <w:rFonts w:hint="eastAsia" w:ascii="宋体" w:hAnsi="宋体" w:cs="宋体"/>
          <w:szCs w:val="21"/>
        </w:rPr>
        <w:t>202</w:t>
      </w:r>
      <w:r>
        <w:rPr>
          <w:rFonts w:ascii="宋体" w:hAnsi="宋体" w:cs="宋体"/>
          <w:szCs w:val="21"/>
        </w:rPr>
        <w:t>6</w:t>
      </w:r>
      <w:r>
        <w:rPr>
          <w:rFonts w:hint="eastAsia" w:ascii="宋体" w:hAnsi="宋体" w:cs="宋体"/>
          <w:szCs w:val="21"/>
        </w:rPr>
        <w:t>年</w:t>
      </w:r>
      <w:r>
        <w:rPr>
          <w:rFonts w:hint="eastAsia" w:ascii="宋体" w:hAnsi="宋体" w:cs="宋体"/>
          <w:szCs w:val="21"/>
          <w:lang w:val="en-US" w:eastAsia="zh-CN"/>
        </w:rPr>
        <w:t>06</w:t>
      </w:r>
      <w:r>
        <w:rPr>
          <w:rFonts w:hint="eastAsia" w:ascii="宋体" w:hAnsi="宋体" w:cs="宋体"/>
          <w:szCs w:val="21"/>
        </w:rPr>
        <w:t>月</w:t>
      </w:r>
      <w:r>
        <w:rPr>
          <w:rFonts w:hint="eastAsia" w:ascii="宋体" w:hAnsi="宋体" w:cs="宋体"/>
          <w:szCs w:val="21"/>
          <w:lang w:val="en-US" w:eastAsia="zh-CN"/>
        </w:rPr>
        <w:t>29</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点</w:t>
      </w:r>
      <w:r>
        <w:rPr>
          <w:rFonts w:hint="eastAsia" w:ascii="宋体" w:hAnsi="宋体" w:cs="宋体"/>
          <w:szCs w:val="21"/>
          <w:lang w:val="en-US" w:eastAsia="zh-CN"/>
        </w:rPr>
        <w:t>00</w:t>
      </w:r>
      <w:r>
        <w:rPr>
          <w:rFonts w:hint="eastAsia" w:ascii="宋体" w:hAnsi="宋体" w:cs="宋体"/>
          <w:szCs w:val="21"/>
        </w:rPr>
        <w:t>分</w:t>
      </w:r>
      <w:r>
        <w:rPr>
          <w:rFonts w:hint="eastAsia" w:ascii="宋体" w:hAnsi="宋体" w:cs="宋体"/>
          <w:bCs/>
          <w:szCs w:val="21"/>
        </w:rPr>
        <w:t>（北京时间）</w:t>
      </w:r>
      <w:bookmarkEnd w:id="68"/>
      <w:r>
        <w:rPr>
          <w:rFonts w:hint="eastAsia" w:ascii="宋体" w:hAnsi="宋体" w:cs="宋体"/>
          <w:bCs/>
          <w:szCs w:val="21"/>
        </w:rPr>
        <w:t>。</w:t>
      </w:r>
    </w:p>
    <w:p w14:paraId="2BE71056">
      <w:pPr>
        <w:spacing w:line="360" w:lineRule="auto"/>
        <w:ind w:firstLine="420"/>
        <w:rPr>
          <w:rFonts w:ascii="宋体" w:hAnsi="宋体" w:cs="宋体"/>
          <w:szCs w:val="21"/>
        </w:rPr>
      </w:pPr>
      <w:r>
        <w:rPr>
          <w:rFonts w:hint="eastAsia" w:ascii="宋体" w:hAnsi="宋体" w:cs="宋体"/>
          <w:b/>
          <w:bCs/>
          <w:szCs w:val="21"/>
        </w:rPr>
        <w:t>地点：</w:t>
      </w:r>
      <w:bookmarkStart w:id="69" w:name="OLE_LINK135"/>
      <w:r>
        <w:rPr>
          <w:rFonts w:hint="eastAsia" w:ascii="宋体" w:hAnsi="宋体" w:cs="宋体"/>
          <w:szCs w:val="21"/>
        </w:rPr>
        <w:t>供应商应按照本项目单一来源采购文件和政府采购云平台的要求编制、加密响应文件后在响应文件提交截止时间前上传至政府采购云平台，供应商须在</w:t>
      </w:r>
      <w:bookmarkStart w:id="70" w:name="OLE_LINK243"/>
      <w:r>
        <w:rPr>
          <w:rFonts w:hint="eastAsia" w:ascii="宋体" w:hAnsi="宋体" w:cs="宋体"/>
          <w:szCs w:val="21"/>
        </w:rPr>
        <w:t>响应文件提交</w:t>
      </w:r>
      <w:bookmarkEnd w:id="70"/>
      <w:r>
        <w:rPr>
          <w:rFonts w:hint="eastAsia" w:ascii="宋体" w:hAnsi="宋体" w:cs="宋体"/>
          <w:szCs w:val="21"/>
        </w:rPr>
        <w:t>截止时间前完成所有电子响应文件的上传，响应文件提交截止时间前未完成响应文件传输的，视为撤回响应文件。供应商在政府采购云平台提交电子版响应文件时，请填写参加远程采购活动经办人联系方式。</w:t>
      </w:r>
      <w:r>
        <w:rPr>
          <w:rFonts w:hint="eastAsia" w:hAnsi="宋体"/>
          <w:szCs w:val="21"/>
        </w:rPr>
        <w:t>供应商无需到达开启地点，</w:t>
      </w:r>
      <w:r>
        <w:rPr>
          <w:rFonts w:hint="eastAsia"/>
        </w:rPr>
        <w:t>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电子版响应文件</w:t>
      </w:r>
      <w:bookmarkEnd w:id="69"/>
      <w:r>
        <w:rPr>
          <w:rFonts w:hint="eastAsia"/>
        </w:rPr>
        <w:t>。</w:t>
      </w:r>
    </w:p>
    <w:p w14:paraId="09E31043">
      <w:pPr>
        <w:spacing w:line="360" w:lineRule="auto"/>
        <w:outlineLvl w:val="1"/>
        <w:rPr>
          <w:rFonts w:ascii="黑体" w:hAnsi="黑体" w:eastAsia="黑体" w:cs="黑体"/>
          <w:b/>
          <w:sz w:val="28"/>
          <w:szCs w:val="28"/>
        </w:rPr>
      </w:pPr>
      <w:bookmarkStart w:id="71" w:name="_Toc1475"/>
      <w:bookmarkStart w:id="72" w:name="_Toc4635"/>
      <w:bookmarkStart w:id="73" w:name="_Toc5598"/>
      <w:bookmarkStart w:id="74" w:name="OLE_LINK29"/>
      <w:r>
        <w:rPr>
          <w:rFonts w:hint="eastAsia" w:ascii="黑体" w:hAnsi="黑体" w:eastAsia="黑体" w:cs="黑体"/>
          <w:b/>
          <w:sz w:val="28"/>
          <w:szCs w:val="28"/>
        </w:rPr>
        <w:t>六、开启</w:t>
      </w:r>
      <w:bookmarkEnd w:id="71"/>
      <w:bookmarkEnd w:id="72"/>
      <w:bookmarkEnd w:id="73"/>
    </w:p>
    <w:p w14:paraId="3D7B18F1">
      <w:pPr>
        <w:spacing w:line="360" w:lineRule="auto"/>
        <w:ind w:firstLine="420" w:firstLineChars="200"/>
        <w:rPr>
          <w:rFonts w:hAnsi="宋体" w:cs="宋体"/>
          <w:bCs/>
          <w:szCs w:val="21"/>
          <w:u w:val="single"/>
        </w:rPr>
      </w:pPr>
      <w:r>
        <w:rPr>
          <w:rFonts w:hint="eastAsia" w:hAnsi="宋体" w:cs="宋体"/>
          <w:b/>
          <w:bCs/>
          <w:szCs w:val="21"/>
        </w:rPr>
        <w:t>时间：</w:t>
      </w:r>
      <w:r>
        <w:rPr>
          <w:rFonts w:hint="eastAsia" w:ascii="宋体" w:hAnsi="宋体" w:cs="宋体"/>
          <w:szCs w:val="21"/>
        </w:rPr>
        <w:t>202</w:t>
      </w:r>
      <w:r>
        <w:rPr>
          <w:rFonts w:ascii="宋体" w:hAnsi="宋体" w:cs="宋体"/>
          <w:szCs w:val="21"/>
        </w:rPr>
        <w:t>6</w:t>
      </w:r>
      <w:r>
        <w:rPr>
          <w:rFonts w:hint="eastAsia" w:ascii="宋体" w:hAnsi="宋体" w:cs="宋体"/>
          <w:szCs w:val="21"/>
        </w:rPr>
        <w:t>年</w:t>
      </w:r>
      <w:r>
        <w:rPr>
          <w:rFonts w:hint="eastAsia" w:ascii="宋体" w:hAnsi="宋体" w:cs="宋体"/>
          <w:szCs w:val="21"/>
          <w:lang w:val="en-US" w:eastAsia="zh-CN"/>
        </w:rPr>
        <w:t>06</w:t>
      </w:r>
      <w:r>
        <w:rPr>
          <w:rFonts w:hint="eastAsia" w:ascii="宋体" w:hAnsi="宋体" w:cs="宋体"/>
          <w:szCs w:val="21"/>
        </w:rPr>
        <w:t>月</w:t>
      </w:r>
      <w:r>
        <w:rPr>
          <w:rFonts w:hint="eastAsia" w:ascii="宋体" w:hAnsi="宋体" w:cs="宋体"/>
          <w:szCs w:val="21"/>
          <w:lang w:val="en-US" w:eastAsia="zh-CN"/>
        </w:rPr>
        <w:t>29</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点</w:t>
      </w:r>
      <w:r>
        <w:rPr>
          <w:rFonts w:hint="eastAsia" w:ascii="宋体" w:hAnsi="宋体" w:cs="宋体"/>
          <w:szCs w:val="21"/>
          <w:lang w:val="en-US" w:eastAsia="zh-CN"/>
        </w:rPr>
        <w:t>00</w:t>
      </w:r>
      <w:r>
        <w:rPr>
          <w:rFonts w:hint="eastAsia" w:ascii="宋体" w:hAnsi="宋体" w:cs="宋体"/>
          <w:szCs w:val="21"/>
        </w:rPr>
        <w:t>分</w:t>
      </w:r>
      <w:r>
        <w:rPr>
          <w:rFonts w:hint="eastAsia" w:hAnsi="宋体" w:cs="宋体"/>
          <w:szCs w:val="21"/>
        </w:rPr>
        <w:t>（北京时间）。</w:t>
      </w:r>
    </w:p>
    <w:p w14:paraId="6BDAE48A">
      <w:pPr>
        <w:spacing w:line="360" w:lineRule="auto"/>
        <w:ind w:firstLine="420" w:firstLineChars="200"/>
      </w:pPr>
      <w:r>
        <w:rPr>
          <w:rFonts w:hint="eastAsia" w:hAnsi="宋体" w:cs="宋体"/>
          <w:b/>
          <w:bCs/>
          <w:szCs w:val="21"/>
        </w:rPr>
        <w:t>地点：</w:t>
      </w:r>
      <w:bookmarkStart w:id="75" w:name="OLE_LINK137"/>
      <w:r>
        <w:rPr>
          <w:rFonts w:hint="eastAsia" w:hAnsi="宋体" w:cs="宋体"/>
          <w:szCs w:val="21"/>
        </w:rPr>
        <w:t>云南中咨海外咨询有限公司三楼</w:t>
      </w:r>
      <w:r>
        <w:rPr>
          <w:rFonts w:hint="eastAsia" w:hAnsi="宋体" w:cs="宋体"/>
          <w:szCs w:val="21"/>
          <w:lang w:val="en-US" w:eastAsia="zh-CN"/>
        </w:rPr>
        <w:t>开</w:t>
      </w:r>
      <w:r>
        <w:rPr>
          <w:rFonts w:hint="eastAsia" w:hAnsi="宋体" w:cs="宋体"/>
          <w:szCs w:val="21"/>
        </w:rPr>
        <w:t>标</w:t>
      </w:r>
      <w:r>
        <w:rPr>
          <w:rFonts w:hint="eastAsia" w:ascii="宋体" w:hAnsi="宋体" w:cs="宋体"/>
          <w:szCs w:val="21"/>
          <w:lang w:val="en-US" w:eastAsia="zh-CN"/>
        </w:rPr>
        <w:t>三</w:t>
      </w:r>
      <w:r>
        <w:rPr>
          <w:rFonts w:hint="eastAsia" w:hAnsi="宋体" w:cs="宋体"/>
          <w:szCs w:val="21"/>
        </w:rPr>
        <w:t>厅（云南省昆明市滇池度假区中天融域小区17幢1单元）</w:t>
      </w:r>
      <w:r>
        <w:rPr>
          <w:rFonts w:hint="eastAsia" w:hAnsi="宋体"/>
          <w:szCs w:val="21"/>
        </w:rPr>
        <w:t>。供应商无需到达开启地点，须在政府采购云平台进行远程解密电子版响应文件</w:t>
      </w:r>
      <w:bookmarkEnd w:id="75"/>
      <w:r>
        <w:rPr>
          <w:rFonts w:hint="eastAsia" w:hAnsi="宋体"/>
          <w:szCs w:val="21"/>
        </w:rPr>
        <w:t>。</w:t>
      </w:r>
    </w:p>
    <w:p w14:paraId="2F1D6D67">
      <w:pPr>
        <w:spacing w:line="360" w:lineRule="auto"/>
        <w:outlineLvl w:val="1"/>
        <w:rPr>
          <w:rFonts w:hAnsi="宋体"/>
          <w:sz w:val="24"/>
        </w:rPr>
      </w:pPr>
      <w:bookmarkStart w:id="76" w:name="_Toc13851"/>
      <w:bookmarkStart w:id="77" w:name="_Toc32472"/>
      <w:bookmarkStart w:id="78" w:name="_Toc35393795"/>
      <w:bookmarkStart w:id="79" w:name="_Toc11955"/>
      <w:bookmarkStart w:id="80" w:name="_Toc35393626"/>
      <w:r>
        <w:rPr>
          <w:rFonts w:hint="eastAsia" w:ascii="黑体" w:hAnsi="黑体" w:eastAsia="黑体" w:cs="黑体"/>
          <w:b/>
          <w:sz w:val="28"/>
          <w:szCs w:val="28"/>
        </w:rPr>
        <w:t>七、其他补充事宜</w:t>
      </w:r>
      <w:bookmarkEnd w:id="76"/>
      <w:bookmarkEnd w:id="77"/>
      <w:bookmarkEnd w:id="78"/>
      <w:bookmarkEnd w:id="79"/>
      <w:bookmarkEnd w:id="80"/>
    </w:p>
    <w:p w14:paraId="10B9C8E0">
      <w:pPr>
        <w:spacing w:line="360" w:lineRule="auto"/>
        <w:ind w:firstLine="420"/>
        <w:rPr>
          <w:rFonts w:ascii="宋体" w:hAnsi="宋体" w:cs="宋体"/>
          <w:bCs/>
          <w:szCs w:val="21"/>
        </w:rPr>
      </w:pPr>
      <w:bookmarkStart w:id="81" w:name="_Toc19860"/>
      <w:bookmarkStart w:id="82" w:name="OLE_LINK140"/>
      <w:r>
        <w:rPr>
          <w:rFonts w:hint="eastAsia" w:ascii="宋体" w:hAnsi="宋体" w:cs="宋体"/>
          <w:bCs/>
          <w:szCs w:val="21"/>
        </w:rPr>
        <w:t>1.</w:t>
      </w:r>
      <w:bookmarkEnd w:id="81"/>
      <w:r>
        <w:rPr>
          <w:rFonts w:hint="eastAsia" w:ascii="宋体" w:hAnsi="宋体" w:cs="宋体"/>
          <w:bCs/>
          <w:szCs w:val="21"/>
        </w:rPr>
        <w:t>本次单一来源采购项目成交结果公告</w:t>
      </w:r>
      <w:bookmarkStart w:id="83" w:name="OLE_LINK317"/>
      <w:r>
        <w:rPr>
          <w:rFonts w:hint="eastAsia" w:ascii="宋体" w:hAnsi="宋体" w:cs="宋体"/>
          <w:bCs/>
          <w:szCs w:val="21"/>
        </w:rPr>
        <w:t>在《云南省政府采购网》、《西南林业大学网站》</w:t>
      </w:r>
      <w:bookmarkEnd w:id="83"/>
      <w:r>
        <w:rPr>
          <w:rFonts w:hint="eastAsia" w:ascii="宋体" w:hAnsi="宋体" w:cs="宋体"/>
          <w:bCs/>
          <w:szCs w:val="21"/>
        </w:rPr>
        <w:t>上发布，采购人及采购代理机构对其他网站发布或转载的公告内容不承担任何责任</w:t>
      </w:r>
      <w:r>
        <w:rPr>
          <w:rFonts w:hint="eastAsia" w:ascii="宋体" w:hAnsi="宋体" w:cs="宋体"/>
          <w:szCs w:val="21"/>
        </w:rPr>
        <w:t>。</w:t>
      </w:r>
    </w:p>
    <w:p w14:paraId="6B7F1533">
      <w:pPr>
        <w:spacing w:line="360" w:lineRule="auto"/>
        <w:ind w:firstLine="420"/>
        <w:rPr>
          <w:rFonts w:ascii="宋体" w:hAnsi="宋体" w:cs="宋体"/>
          <w:bCs/>
          <w:szCs w:val="21"/>
        </w:rPr>
      </w:pPr>
      <w:r>
        <w:rPr>
          <w:rFonts w:hint="eastAsia" w:ascii="宋体" w:hAnsi="宋体" w:cs="宋体"/>
          <w:bCs/>
          <w:szCs w:val="21"/>
        </w:rPr>
        <w:t>2.本项目需要落实</w:t>
      </w:r>
      <w:bookmarkStart w:id="84" w:name="OLE_LINK144"/>
      <w:r>
        <w:rPr>
          <w:rFonts w:hint="eastAsia" w:ascii="宋体" w:hAnsi="宋体" w:cs="宋体"/>
          <w:bCs/>
          <w:szCs w:val="21"/>
        </w:rPr>
        <w:t>的政府采购政策：</w:t>
      </w:r>
      <w:r>
        <w:rPr>
          <w:rFonts w:hint="eastAsia" w:ascii="宋体" w:hAnsi="宋体" w:cs="宋体"/>
          <w:b/>
          <w:szCs w:val="21"/>
        </w:rPr>
        <w:t>政府采购节能产品、环境标志产品政策，政府采购促进中小企业发展政策，政府采购支持监狱企业发展政策</w:t>
      </w:r>
      <w:bookmarkEnd w:id="84"/>
      <w:r>
        <w:rPr>
          <w:rFonts w:hint="eastAsia" w:ascii="宋体" w:hAnsi="宋体" w:cs="宋体"/>
          <w:b/>
          <w:szCs w:val="21"/>
        </w:rPr>
        <w:t>，政府采购促进残疾人就业等。</w:t>
      </w:r>
    </w:p>
    <w:p w14:paraId="4C6F199D">
      <w:pPr>
        <w:spacing w:line="360" w:lineRule="auto"/>
        <w:ind w:firstLine="420"/>
        <w:rPr>
          <w:rFonts w:ascii="宋体" w:hAnsi="宋体" w:cs="宋体"/>
          <w:bCs/>
          <w:szCs w:val="21"/>
        </w:rPr>
      </w:pPr>
      <w:r>
        <w:rPr>
          <w:rFonts w:hint="eastAsia" w:ascii="宋体" w:hAnsi="宋体" w:cs="宋体"/>
          <w:bCs/>
          <w:szCs w:val="21"/>
        </w:rPr>
        <w:t>3.</w:t>
      </w:r>
      <w:r>
        <w:rPr>
          <w:rFonts w:hint="eastAsia" w:ascii="宋体" w:hAnsi="宋体" w:cs="宋体"/>
          <w:snapToGrid w:val="0"/>
          <w:kern w:val="21"/>
          <w:szCs w:val="21"/>
        </w:rPr>
        <w:t>本项目实行网上采购，采用电子响应文件。供应商按照采购文件规定和电子交易平台操作流程要求，参加政府采购电子化交易活动。因未完成注册、未办理CA数字证书等原因造成无法响应或响应失败的，自行承担责任</w:t>
      </w:r>
      <w:r>
        <w:rPr>
          <w:rFonts w:hint="eastAsia" w:ascii="宋体" w:hAnsi="宋体" w:cs="宋体"/>
          <w:bCs/>
          <w:szCs w:val="21"/>
        </w:rPr>
        <w:t>。</w:t>
      </w:r>
    </w:p>
    <w:bookmarkEnd w:id="82"/>
    <w:p w14:paraId="721EE984">
      <w:pPr>
        <w:spacing w:line="360" w:lineRule="auto"/>
        <w:outlineLvl w:val="1"/>
        <w:rPr>
          <w:rFonts w:hAnsi="宋体"/>
          <w:sz w:val="24"/>
        </w:rPr>
      </w:pPr>
      <w:bookmarkStart w:id="85" w:name="_Toc23274"/>
      <w:bookmarkStart w:id="86" w:name="_Toc13696"/>
      <w:bookmarkStart w:id="87" w:name="_Toc35393627"/>
      <w:bookmarkStart w:id="88" w:name="_Toc28359085"/>
      <w:bookmarkStart w:id="89" w:name="_Toc28683"/>
      <w:bookmarkStart w:id="90" w:name="_Toc28359008"/>
      <w:bookmarkStart w:id="91" w:name="_Toc35393796"/>
      <w:r>
        <w:rPr>
          <w:rFonts w:hint="eastAsia" w:ascii="黑体" w:hAnsi="黑体" w:eastAsia="黑体" w:cs="黑体"/>
          <w:b/>
          <w:sz w:val="28"/>
          <w:szCs w:val="28"/>
        </w:rPr>
        <w:t>八、凡对本次采购提出询问，请按以下方式联系</w:t>
      </w:r>
      <w:bookmarkEnd w:id="85"/>
      <w:bookmarkEnd w:id="86"/>
      <w:bookmarkEnd w:id="87"/>
      <w:bookmarkEnd w:id="88"/>
      <w:bookmarkEnd w:id="89"/>
      <w:bookmarkEnd w:id="90"/>
      <w:bookmarkEnd w:id="91"/>
    </w:p>
    <w:bookmarkEnd w:id="64"/>
    <w:bookmarkEnd w:id="65"/>
    <w:bookmarkEnd w:id="66"/>
    <w:bookmarkEnd w:id="74"/>
    <w:p w14:paraId="18E1BE6C">
      <w:pPr>
        <w:spacing w:line="360" w:lineRule="auto"/>
        <w:ind w:firstLine="420" w:firstLineChars="200"/>
        <w:rPr>
          <w:rFonts w:hAnsi="宋体"/>
          <w:b/>
          <w:bCs/>
          <w:szCs w:val="21"/>
        </w:rPr>
      </w:pPr>
      <w:bookmarkStart w:id="92" w:name="_Toc12799"/>
      <w:r>
        <w:rPr>
          <w:rFonts w:hint="eastAsia" w:hAnsi="宋体"/>
          <w:b/>
          <w:bCs/>
          <w:szCs w:val="21"/>
        </w:rPr>
        <w:t>1.采购人信息</w:t>
      </w:r>
      <w:bookmarkEnd w:id="92"/>
    </w:p>
    <w:p w14:paraId="0C18BB3C">
      <w:pPr>
        <w:spacing w:line="360" w:lineRule="auto"/>
        <w:ind w:firstLine="420" w:firstLineChars="200"/>
        <w:rPr>
          <w:rFonts w:hAnsi="宋体"/>
          <w:szCs w:val="21"/>
        </w:rPr>
      </w:pPr>
      <w:r>
        <w:rPr>
          <w:rFonts w:hint="eastAsia" w:hAnsi="宋体"/>
          <w:szCs w:val="21"/>
        </w:rPr>
        <w:t>名    称：西南林业大学</w:t>
      </w:r>
    </w:p>
    <w:p w14:paraId="26F43C48">
      <w:pPr>
        <w:spacing w:line="360" w:lineRule="auto"/>
        <w:ind w:firstLine="420" w:firstLineChars="200"/>
        <w:rPr>
          <w:rFonts w:hAnsi="宋体"/>
          <w:szCs w:val="21"/>
        </w:rPr>
      </w:pPr>
      <w:bookmarkStart w:id="93" w:name="_Toc7066"/>
      <w:r>
        <w:rPr>
          <w:rFonts w:hint="eastAsia" w:hAnsi="宋体"/>
          <w:szCs w:val="21"/>
        </w:rPr>
        <w:t>地    址：云南省昆明市盘龙区白龙寺300号</w:t>
      </w:r>
    </w:p>
    <w:p w14:paraId="6E32E3A7">
      <w:pPr>
        <w:spacing w:line="360" w:lineRule="auto"/>
        <w:ind w:firstLine="420" w:firstLineChars="200"/>
        <w:rPr>
          <w:rFonts w:hAnsi="宋体"/>
          <w:szCs w:val="21"/>
        </w:rPr>
      </w:pPr>
      <w:r>
        <w:rPr>
          <w:rFonts w:hint="eastAsia" w:hAnsi="宋体"/>
          <w:szCs w:val="21"/>
        </w:rPr>
        <w:t>联系人：王老师</w:t>
      </w:r>
    </w:p>
    <w:p w14:paraId="42AA7774">
      <w:pPr>
        <w:spacing w:line="360" w:lineRule="auto"/>
        <w:ind w:firstLine="420" w:firstLineChars="200"/>
        <w:rPr>
          <w:rFonts w:hAnsi="宋体"/>
          <w:szCs w:val="21"/>
        </w:rPr>
      </w:pPr>
      <w:r>
        <w:rPr>
          <w:rFonts w:hint="eastAsia" w:hAnsi="宋体"/>
          <w:szCs w:val="21"/>
        </w:rPr>
        <w:t>联系电话：</w:t>
      </w:r>
      <w:r>
        <w:rPr>
          <w:rFonts w:hint="eastAsia"/>
        </w:rPr>
        <w:t>0871-63862755</w:t>
      </w:r>
    </w:p>
    <w:p w14:paraId="467EB6B0">
      <w:pPr>
        <w:spacing w:line="360" w:lineRule="auto"/>
        <w:ind w:firstLine="420" w:firstLineChars="200"/>
        <w:rPr>
          <w:rFonts w:hAnsi="宋体"/>
          <w:b/>
          <w:bCs/>
          <w:szCs w:val="21"/>
        </w:rPr>
      </w:pPr>
      <w:r>
        <w:rPr>
          <w:rFonts w:hint="eastAsia" w:hAnsi="宋体"/>
          <w:b/>
          <w:bCs/>
          <w:szCs w:val="21"/>
        </w:rPr>
        <w:t>2.采购代理机构信息</w:t>
      </w:r>
      <w:bookmarkEnd w:id="93"/>
    </w:p>
    <w:p w14:paraId="34E5C0E0">
      <w:pPr>
        <w:spacing w:line="360" w:lineRule="auto"/>
        <w:ind w:firstLine="420" w:firstLineChars="200"/>
        <w:rPr>
          <w:rFonts w:hAnsi="宋体"/>
          <w:szCs w:val="21"/>
        </w:rPr>
      </w:pPr>
      <w:bookmarkStart w:id="94" w:name="_Toc17267"/>
      <w:r>
        <w:rPr>
          <w:rFonts w:hint="eastAsia" w:hAnsi="宋体"/>
          <w:szCs w:val="21"/>
        </w:rPr>
        <w:t>名    称：云南中咨海外咨询有限公司</w:t>
      </w:r>
    </w:p>
    <w:p w14:paraId="30E7B984">
      <w:pPr>
        <w:spacing w:line="360" w:lineRule="auto"/>
        <w:ind w:firstLine="420" w:firstLineChars="200"/>
        <w:rPr>
          <w:rFonts w:hAnsi="宋体"/>
          <w:szCs w:val="21"/>
        </w:rPr>
      </w:pPr>
      <w:r>
        <w:rPr>
          <w:rFonts w:hint="eastAsia" w:hAnsi="宋体"/>
          <w:szCs w:val="21"/>
        </w:rPr>
        <w:t>地    址：</w:t>
      </w:r>
      <w:bookmarkStart w:id="95" w:name="OLE_LINK218"/>
      <w:r>
        <w:rPr>
          <w:rFonts w:hint="eastAsia" w:hAnsi="宋体"/>
          <w:szCs w:val="21"/>
        </w:rPr>
        <w:t>云南省昆明市滇池度假区中天融域小区17幢1单元4楼</w:t>
      </w:r>
      <w:bookmarkEnd w:id="95"/>
    </w:p>
    <w:p w14:paraId="45F2F5C9">
      <w:pPr>
        <w:spacing w:line="360" w:lineRule="auto"/>
        <w:ind w:firstLine="420" w:firstLineChars="200"/>
        <w:rPr>
          <w:rFonts w:hAnsi="宋体"/>
          <w:szCs w:val="21"/>
        </w:rPr>
      </w:pPr>
      <w:r>
        <w:rPr>
          <w:rFonts w:hint="eastAsia" w:hAnsi="宋体"/>
          <w:szCs w:val="21"/>
        </w:rPr>
        <w:t>联系方式：0871-68101774</w:t>
      </w:r>
    </w:p>
    <w:p w14:paraId="12511534">
      <w:pPr>
        <w:spacing w:line="360" w:lineRule="auto"/>
        <w:ind w:firstLine="420" w:firstLineChars="200"/>
        <w:rPr>
          <w:rFonts w:hAnsi="宋体"/>
          <w:szCs w:val="21"/>
        </w:rPr>
      </w:pPr>
      <w:r>
        <w:rPr>
          <w:rFonts w:hint="eastAsia" w:hAnsi="宋体"/>
          <w:szCs w:val="21"/>
        </w:rPr>
        <w:t>邮箱：zzhw02@vip.163.com</w:t>
      </w:r>
    </w:p>
    <w:p w14:paraId="56042606">
      <w:pPr>
        <w:spacing w:line="360" w:lineRule="auto"/>
        <w:ind w:firstLine="420" w:firstLineChars="200"/>
        <w:rPr>
          <w:rFonts w:hAnsi="宋体"/>
          <w:b/>
          <w:bCs/>
          <w:szCs w:val="21"/>
        </w:rPr>
      </w:pPr>
      <w:r>
        <w:rPr>
          <w:rFonts w:hint="eastAsia" w:hAnsi="宋体"/>
          <w:b/>
          <w:bCs/>
          <w:szCs w:val="21"/>
        </w:rPr>
        <w:t>3.项目联系方式</w:t>
      </w:r>
      <w:bookmarkEnd w:id="94"/>
    </w:p>
    <w:p w14:paraId="3D852D7C">
      <w:pPr>
        <w:spacing w:line="360" w:lineRule="auto"/>
        <w:ind w:firstLine="420" w:firstLineChars="200"/>
        <w:rPr>
          <w:rFonts w:hAnsi="宋体"/>
          <w:szCs w:val="21"/>
        </w:rPr>
      </w:pPr>
      <w:bookmarkStart w:id="96" w:name="_Toc25986"/>
      <w:r>
        <w:rPr>
          <w:rFonts w:hint="eastAsia" w:hAnsi="宋体"/>
          <w:szCs w:val="21"/>
        </w:rPr>
        <w:t>项目联系人：张艳、张雨霏、李耀鹏、丁红梅、李杰</w:t>
      </w:r>
    </w:p>
    <w:p w14:paraId="274B3408">
      <w:pPr>
        <w:spacing w:line="360" w:lineRule="auto"/>
        <w:ind w:firstLine="420" w:firstLineChars="200"/>
        <w:rPr>
          <w:rFonts w:hAnsi="宋体"/>
          <w:szCs w:val="21"/>
        </w:rPr>
      </w:pPr>
      <w:r>
        <w:rPr>
          <w:rFonts w:hint="eastAsia" w:hAnsi="宋体"/>
          <w:szCs w:val="21"/>
        </w:rPr>
        <w:t>电    话：0871-68101774</w:t>
      </w:r>
    </w:p>
    <w:p w14:paraId="17EA5F1B">
      <w:pPr>
        <w:spacing w:line="360" w:lineRule="auto"/>
        <w:ind w:firstLine="420" w:firstLineChars="200"/>
        <w:rPr>
          <w:rFonts w:hAnsi="宋体"/>
          <w:szCs w:val="21"/>
        </w:rPr>
        <w:sectPr>
          <w:footerReference r:id="rId14" w:type="first"/>
          <w:headerReference r:id="rId12" w:type="default"/>
          <w:footerReference r:id="rId13" w:type="default"/>
          <w:pgSz w:w="11906" w:h="16838"/>
          <w:pgMar w:top="1440" w:right="1440" w:bottom="1440" w:left="1440" w:header="510" w:footer="680" w:gutter="0"/>
          <w:pgNumType w:start="1"/>
          <w:cols w:space="0" w:num="1"/>
          <w:titlePg/>
          <w:docGrid w:type="linesAndChars" w:linePitch="312" w:charSpace="0"/>
        </w:sectPr>
      </w:pPr>
    </w:p>
    <w:p w14:paraId="6EA2315F">
      <w:pPr>
        <w:spacing w:line="360" w:lineRule="auto"/>
        <w:ind w:firstLine="200"/>
        <w:jc w:val="center"/>
        <w:outlineLvl w:val="0"/>
        <w:rPr>
          <w:rFonts w:ascii="黑体" w:hAnsi="黑体" w:eastAsia="黑体" w:cs="黑体"/>
          <w:b/>
          <w:bCs/>
          <w:kern w:val="44"/>
          <w:sz w:val="32"/>
          <w:szCs w:val="32"/>
        </w:rPr>
      </w:pPr>
      <w:bookmarkStart w:id="97" w:name="_Toc6737"/>
      <w:r>
        <w:rPr>
          <w:rFonts w:hint="eastAsia" w:ascii="黑体" w:hAnsi="黑体" w:eastAsia="黑体" w:cs="黑体"/>
          <w:b/>
          <w:bCs/>
          <w:kern w:val="44"/>
          <w:sz w:val="32"/>
          <w:szCs w:val="32"/>
        </w:rPr>
        <w:t>第二章</w:t>
      </w:r>
      <w:bookmarkEnd w:id="96"/>
      <w:bookmarkStart w:id="98" w:name="_Toc6310"/>
      <w:r>
        <w:rPr>
          <w:rFonts w:hint="eastAsia" w:ascii="黑体" w:hAnsi="黑体" w:eastAsia="黑体" w:cs="黑体"/>
          <w:b/>
          <w:bCs/>
          <w:kern w:val="44"/>
          <w:sz w:val="32"/>
          <w:szCs w:val="32"/>
        </w:rPr>
        <w:t>供应</w:t>
      </w:r>
      <w:bookmarkStart w:id="99" w:name="OLE_LINK30"/>
      <w:r>
        <w:rPr>
          <w:rFonts w:hint="eastAsia" w:ascii="黑体" w:hAnsi="黑体" w:eastAsia="黑体" w:cs="黑体"/>
          <w:b/>
          <w:bCs/>
          <w:kern w:val="44"/>
          <w:sz w:val="32"/>
          <w:szCs w:val="32"/>
        </w:rPr>
        <w:t>商须</w:t>
      </w:r>
      <w:bookmarkEnd w:id="99"/>
      <w:r>
        <w:rPr>
          <w:rFonts w:hint="eastAsia" w:ascii="黑体" w:hAnsi="黑体" w:eastAsia="黑体" w:cs="黑体"/>
          <w:b/>
          <w:bCs/>
          <w:kern w:val="44"/>
          <w:sz w:val="32"/>
          <w:szCs w:val="32"/>
        </w:rPr>
        <w:t>知</w:t>
      </w:r>
      <w:bookmarkEnd w:id="97"/>
      <w:bookmarkEnd w:id="98"/>
    </w:p>
    <w:p w14:paraId="3A456499">
      <w:pPr>
        <w:pStyle w:val="4"/>
        <w:spacing w:before="0" w:after="0"/>
        <w:rPr>
          <w:rFonts w:ascii="黑体" w:hAnsi="黑体" w:eastAsia="黑体" w:cs="黑体"/>
          <w:snapToGrid w:val="0"/>
          <w:kern w:val="21"/>
        </w:rPr>
      </w:pPr>
      <w:bookmarkStart w:id="100" w:name="_Toc25497"/>
      <w:bookmarkStart w:id="101" w:name="_Toc86124039"/>
      <w:bookmarkStart w:id="102" w:name="_Toc27252"/>
      <w:bookmarkStart w:id="103" w:name="_Toc498050627"/>
      <w:bookmarkStart w:id="104" w:name="OLE_LINK35"/>
      <w:r>
        <w:rPr>
          <w:rFonts w:hint="eastAsia" w:ascii="黑体" w:hAnsi="黑体" w:eastAsia="黑体" w:cs="黑体"/>
          <w:snapToGrid w:val="0"/>
          <w:kern w:val="21"/>
        </w:rPr>
        <w:t>供应商须知</w:t>
      </w:r>
      <w:bookmarkStart w:id="105" w:name="OLE_LINK31"/>
      <w:r>
        <w:rPr>
          <w:rFonts w:hint="eastAsia" w:ascii="黑体" w:hAnsi="黑体" w:eastAsia="黑体" w:cs="黑体"/>
          <w:snapToGrid w:val="0"/>
          <w:kern w:val="21"/>
        </w:rPr>
        <w:t>前</w:t>
      </w:r>
      <w:bookmarkEnd w:id="105"/>
      <w:r>
        <w:rPr>
          <w:rFonts w:hint="eastAsia" w:ascii="黑体" w:hAnsi="黑体" w:eastAsia="黑体" w:cs="黑体"/>
          <w:snapToGrid w:val="0"/>
          <w:kern w:val="21"/>
        </w:rPr>
        <w:t>附表</w:t>
      </w:r>
      <w:bookmarkEnd w:id="100"/>
      <w:bookmarkEnd w:id="101"/>
      <w:bookmarkEnd w:id="102"/>
      <w:bookmarkEnd w:id="103"/>
    </w:p>
    <w:tbl>
      <w:tblPr>
        <w:tblStyle w:val="38"/>
        <w:tblW w:w="95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1"/>
        <w:gridCol w:w="2457"/>
        <w:gridCol w:w="6405"/>
      </w:tblGrid>
      <w:tr w14:paraId="541A76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tblHeader/>
          <w:jc w:val="center"/>
        </w:trPr>
        <w:tc>
          <w:tcPr>
            <w:tcW w:w="731" w:type="dxa"/>
            <w:tcBorders>
              <w:tl2br w:val="nil"/>
              <w:tr2bl w:val="nil"/>
            </w:tcBorders>
            <w:vAlign w:val="center"/>
          </w:tcPr>
          <w:p w14:paraId="5CEF1BDD">
            <w:pPr>
              <w:pStyle w:val="18"/>
              <w:spacing w:line="360" w:lineRule="auto"/>
              <w:jc w:val="center"/>
              <w:rPr>
                <w:rFonts w:hAnsi="宋体" w:cs="宋体"/>
                <w:b/>
                <w:sz w:val="21"/>
                <w:szCs w:val="21"/>
              </w:rPr>
            </w:pPr>
            <w:r>
              <w:rPr>
                <w:rFonts w:hint="eastAsia" w:hAnsi="宋体" w:cs="宋体"/>
                <w:b/>
                <w:sz w:val="21"/>
                <w:szCs w:val="21"/>
              </w:rPr>
              <w:t>序号</w:t>
            </w:r>
          </w:p>
        </w:tc>
        <w:tc>
          <w:tcPr>
            <w:tcW w:w="2457" w:type="dxa"/>
            <w:tcBorders>
              <w:tl2br w:val="nil"/>
              <w:tr2bl w:val="nil"/>
            </w:tcBorders>
            <w:vAlign w:val="center"/>
          </w:tcPr>
          <w:p w14:paraId="2FA4F879">
            <w:pPr>
              <w:pStyle w:val="18"/>
              <w:spacing w:line="360" w:lineRule="auto"/>
              <w:jc w:val="center"/>
              <w:rPr>
                <w:rFonts w:hAnsi="宋体" w:cs="宋体"/>
                <w:b/>
                <w:sz w:val="21"/>
                <w:szCs w:val="21"/>
              </w:rPr>
            </w:pPr>
            <w:r>
              <w:rPr>
                <w:rFonts w:hint="eastAsia" w:hAnsi="宋体" w:cs="宋体"/>
                <w:b/>
                <w:sz w:val="21"/>
                <w:szCs w:val="21"/>
              </w:rPr>
              <w:t>条款名称</w:t>
            </w:r>
          </w:p>
        </w:tc>
        <w:tc>
          <w:tcPr>
            <w:tcW w:w="6405" w:type="dxa"/>
            <w:tcBorders>
              <w:tl2br w:val="nil"/>
              <w:tr2bl w:val="nil"/>
            </w:tcBorders>
            <w:vAlign w:val="center"/>
          </w:tcPr>
          <w:p w14:paraId="5DF2F316">
            <w:pPr>
              <w:pStyle w:val="18"/>
              <w:spacing w:line="360" w:lineRule="auto"/>
              <w:jc w:val="center"/>
              <w:rPr>
                <w:rFonts w:hAnsi="宋体" w:cs="宋体"/>
                <w:b/>
                <w:sz w:val="21"/>
                <w:szCs w:val="21"/>
              </w:rPr>
            </w:pPr>
            <w:r>
              <w:rPr>
                <w:rFonts w:hint="eastAsia" w:hAnsi="宋体" w:cs="宋体"/>
                <w:b/>
                <w:sz w:val="21"/>
                <w:szCs w:val="21"/>
              </w:rPr>
              <w:t>内容</w:t>
            </w:r>
          </w:p>
        </w:tc>
      </w:tr>
      <w:tr w14:paraId="442A2F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731" w:type="dxa"/>
            <w:tcBorders>
              <w:tl2br w:val="nil"/>
              <w:tr2bl w:val="nil"/>
            </w:tcBorders>
            <w:vAlign w:val="center"/>
          </w:tcPr>
          <w:p w14:paraId="0F027A6E">
            <w:pPr>
              <w:pStyle w:val="18"/>
              <w:spacing w:line="360" w:lineRule="auto"/>
              <w:jc w:val="center"/>
              <w:rPr>
                <w:rFonts w:hAnsi="宋体" w:cs="宋体"/>
                <w:sz w:val="21"/>
                <w:szCs w:val="21"/>
              </w:rPr>
            </w:pPr>
            <w:r>
              <w:rPr>
                <w:rFonts w:hint="eastAsia" w:hAnsi="宋体" w:cs="宋体"/>
                <w:sz w:val="21"/>
                <w:szCs w:val="21"/>
              </w:rPr>
              <w:t>1.1</w:t>
            </w:r>
          </w:p>
        </w:tc>
        <w:tc>
          <w:tcPr>
            <w:tcW w:w="2457" w:type="dxa"/>
            <w:tcBorders>
              <w:tl2br w:val="nil"/>
              <w:tr2bl w:val="nil"/>
            </w:tcBorders>
            <w:vAlign w:val="center"/>
          </w:tcPr>
          <w:p w14:paraId="2918B709">
            <w:pPr>
              <w:pStyle w:val="18"/>
              <w:spacing w:line="360" w:lineRule="auto"/>
              <w:jc w:val="center"/>
              <w:rPr>
                <w:rFonts w:hAnsi="宋体" w:cs="宋体"/>
                <w:sz w:val="21"/>
                <w:szCs w:val="21"/>
                <w:u w:val="single"/>
              </w:rPr>
            </w:pPr>
            <w:r>
              <w:rPr>
                <w:rFonts w:hint="eastAsia" w:hAnsi="宋体" w:cs="宋体"/>
                <w:bCs/>
                <w:sz w:val="21"/>
                <w:szCs w:val="21"/>
              </w:rPr>
              <w:t>采购人</w:t>
            </w:r>
          </w:p>
        </w:tc>
        <w:tc>
          <w:tcPr>
            <w:tcW w:w="6405" w:type="dxa"/>
            <w:tcBorders>
              <w:tl2br w:val="nil"/>
              <w:tr2bl w:val="nil"/>
            </w:tcBorders>
            <w:vAlign w:val="center"/>
          </w:tcPr>
          <w:p w14:paraId="62325DCC">
            <w:pPr>
              <w:spacing w:line="360" w:lineRule="auto"/>
              <w:rPr>
                <w:rFonts w:ascii="宋体" w:hAnsi="宋体" w:cs="宋体"/>
                <w:szCs w:val="21"/>
              </w:rPr>
            </w:pPr>
            <w:r>
              <w:rPr>
                <w:rFonts w:hint="eastAsia" w:ascii="宋体" w:hAnsi="宋体" w:cs="宋体"/>
                <w:szCs w:val="21"/>
              </w:rPr>
              <w:t>西南林业大学</w:t>
            </w:r>
          </w:p>
        </w:tc>
      </w:tr>
      <w:tr w14:paraId="5DF726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31" w:type="dxa"/>
            <w:tcBorders>
              <w:tl2br w:val="nil"/>
              <w:tr2bl w:val="nil"/>
            </w:tcBorders>
            <w:vAlign w:val="center"/>
          </w:tcPr>
          <w:p w14:paraId="686A7F66">
            <w:pPr>
              <w:pStyle w:val="18"/>
              <w:spacing w:line="360" w:lineRule="auto"/>
              <w:jc w:val="center"/>
              <w:rPr>
                <w:rFonts w:hAnsi="宋体" w:cs="宋体"/>
                <w:sz w:val="21"/>
                <w:szCs w:val="21"/>
              </w:rPr>
            </w:pPr>
            <w:r>
              <w:rPr>
                <w:rFonts w:hint="eastAsia" w:hAnsi="宋体" w:cs="宋体"/>
                <w:sz w:val="21"/>
                <w:szCs w:val="21"/>
              </w:rPr>
              <w:t>1.2</w:t>
            </w:r>
          </w:p>
        </w:tc>
        <w:tc>
          <w:tcPr>
            <w:tcW w:w="2457" w:type="dxa"/>
            <w:tcBorders>
              <w:tl2br w:val="nil"/>
              <w:tr2bl w:val="nil"/>
            </w:tcBorders>
            <w:vAlign w:val="center"/>
          </w:tcPr>
          <w:p w14:paraId="220D4D4B">
            <w:pPr>
              <w:pStyle w:val="18"/>
              <w:spacing w:line="360" w:lineRule="auto"/>
              <w:jc w:val="center"/>
              <w:rPr>
                <w:rFonts w:hAnsi="宋体" w:cs="宋体"/>
                <w:bCs/>
                <w:sz w:val="21"/>
                <w:szCs w:val="21"/>
              </w:rPr>
            </w:pPr>
            <w:r>
              <w:rPr>
                <w:rFonts w:hint="eastAsia" w:hAnsi="宋体" w:cs="宋体"/>
                <w:bCs/>
                <w:sz w:val="21"/>
                <w:szCs w:val="21"/>
              </w:rPr>
              <w:t>采购代理机构</w:t>
            </w:r>
          </w:p>
        </w:tc>
        <w:tc>
          <w:tcPr>
            <w:tcW w:w="6405" w:type="dxa"/>
            <w:tcBorders>
              <w:tl2br w:val="nil"/>
              <w:tr2bl w:val="nil"/>
            </w:tcBorders>
            <w:vAlign w:val="center"/>
          </w:tcPr>
          <w:p w14:paraId="1511F05E">
            <w:pPr>
              <w:spacing w:line="360" w:lineRule="auto"/>
              <w:rPr>
                <w:rFonts w:ascii="宋体" w:hAnsi="宋体" w:cs="宋体"/>
                <w:szCs w:val="21"/>
              </w:rPr>
            </w:pPr>
            <w:r>
              <w:rPr>
                <w:rFonts w:hint="eastAsia" w:ascii="宋体" w:hAnsi="宋体" w:cs="宋体"/>
                <w:bCs/>
                <w:szCs w:val="21"/>
              </w:rPr>
              <w:t>云南中咨海外咨询有限公司</w:t>
            </w:r>
          </w:p>
        </w:tc>
      </w:tr>
      <w:tr w14:paraId="245AF4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731" w:type="dxa"/>
            <w:tcBorders>
              <w:tl2br w:val="nil"/>
              <w:tr2bl w:val="nil"/>
            </w:tcBorders>
            <w:vAlign w:val="center"/>
          </w:tcPr>
          <w:p w14:paraId="0160AD8D">
            <w:pPr>
              <w:pStyle w:val="18"/>
              <w:spacing w:line="360" w:lineRule="auto"/>
              <w:jc w:val="center"/>
              <w:rPr>
                <w:rFonts w:hAnsi="宋体" w:cs="宋体"/>
                <w:sz w:val="21"/>
                <w:szCs w:val="21"/>
              </w:rPr>
            </w:pPr>
            <w:r>
              <w:rPr>
                <w:rFonts w:hint="eastAsia" w:hAnsi="宋体" w:cs="宋体"/>
                <w:sz w:val="21"/>
                <w:szCs w:val="21"/>
              </w:rPr>
              <w:t>2.1</w:t>
            </w:r>
          </w:p>
        </w:tc>
        <w:tc>
          <w:tcPr>
            <w:tcW w:w="2457" w:type="dxa"/>
            <w:tcBorders>
              <w:tl2br w:val="nil"/>
              <w:tr2bl w:val="nil"/>
            </w:tcBorders>
            <w:vAlign w:val="center"/>
          </w:tcPr>
          <w:p w14:paraId="01ADC347">
            <w:pPr>
              <w:spacing w:line="360" w:lineRule="auto"/>
              <w:jc w:val="center"/>
              <w:rPr>
                <w:rFonts w:ascii="宋体" w:hAnsi="宋体" w:cs="宋体"/>
                <w:szCs w:val="21"/>
              </w:rPr>
            </w:pPr>
            <w:bookmarkStart w:id="106" w:name="OLE_LINK149"/>
            <w:r>
              <w:rPr>
                <w:rFonts w:hint="eastAsia" w:ascii="宋体" w:hAnsi="宋体" w:cs="宋体"/>
                <w:szCs w:val="21"/>
              </w:rPr>
              <w:t>项目名称及项目编号</w:t>
            </w:r>
            <w:bookmarkEnd w:id="106"/>
          </w:p>
        </w:tc>
        <w:tc>
          <w:tcPr>
            <w:tcW w:w="6405" w:type="dxa"/>
            <w:tcBorders>
              <w:tl2br w:val="nil"/>
              <w:tr2bl w:val="nil"/>
            </w:tcBorders>
            <w:vAlign w:val="center"/>
          </w:tcPr>
          <w:p w14:paraId="36E49BA1">
            <w:pPr>
              <w:pStyle w:val="18"/>
              <w:spacing w:line="360" w:lineRule="auto"/>
              <w:rPr>
                <w:rFonts w:hAnsi="宋体" w:cs="宋体"/>
                <w:sz w:val="21"/>
                <w:szCs w:val="21"/>
              </w:rPr>
            </w:pPr>
            <w:r>
              <w:rPr>
                <w:rFonts w:hint="eastAsia" w:hAnsi="宋体" w:cs="宋体"/>
                <w:sz w:val="21"/>
                <w:szCs w:val="21"/>
              </w:rPr>
              <w:t>项目名称：西南林业大学机械与交通学院基于智慧树教学平台的机械类智慧课程教学资源库建设服务</w:t>
            </w:r>
          </w:p>
          <w:p w14:paraId="4E5E89B1">
            <w:pPr>
              <w:pStyle w:val="18"/>
              <w:spacing w:line="360" w:lineRule="auto"/>
              <w:rPr>
                <w:rFonts w:hint="eastAsia" w:hAnsi="宋体" w:eastAsia="宋体" w:cs="宋体"/>
                <w:sz w:val="21"/>
                <w:szCs w:val="21"/>
                <w:lang w:eastAsia="zh-CN"/>
              </w:rPr>
            </w:pPr>
            <w:r>
              <w:rPr>
                <w:rFonts w:hint="eastAsia" w:hAnsi="宋体" w:cs="宋体"/>
                <w:sz w:val="21"/>
                <w:szCs w:val="21"/>
              </w:rPr>
              <w:t>项目编号：</w:t>
            </w:r>
            <w:r>
              <w:rPr>
                <w:rFonts w:hint="eastAsia" w:hAnsi="宋体" w:cs="宋体"/>
                <w:sz w:val="21"/>
                <w:szCs w:val="21"/>
                <w:lang w:eastAsia="zh-CN"/>
              </w:rPr>
              <w:t>YNZC2026-D3-03520-YNZZ-0337</w:t>
            </w:r>
          </w:p>
        </w:tc>
      </w:tr>
      <w:tr w14:paraId="0CA803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731" w:type="dxa"/>
            <w:tcBorders>
              <w:tl2br w:val="nil"/>
              <w:tr2bl w:val="nil"/>
            </w:tcBorders>
            <w:vAlign w:val="center"/>
          </w:tcPr>
          <w:p w14:paraId="305FFF09">
            <w:pPr>
              <w:pStyle w:val="18"/>
              <w:spacing w:line="360" w:lineRule="auto"/>
              <w:jc w:val="center"/>
              <w:rPr>
                <w:rFonts w:hAnsi="宋体" w:cs="宋体"/>
                <w:sz w:val="21"/>
                <w:szCs w:val="21"/>
              </w:rPr>
            </w:pPr>
            <w:r>
              <w:rPr>
                <w:rFonts w:hint="eastAsia" w:hAnsi="宋体" w:cs="宋体"/>
                <w:sz w:val="21"/>
                <w:szCs w:val="21"/>
              </w:rPr>
              <w:t>2.2</w:t>
            </w:r>
          </w:p>
        </w:tc>
        <w:tc>
          <w:tcPr>
            <w:tcW w:w="2457" w:type="dxa"/>
            <w:tcBorders>
              <w:tl2br w:val="nil"/>
              <w:tr2bl w:val="nil"/>
            </w:tcBorders>
            <w:vAlign w:val="center"/>
          </w:tcPr>
          <w:p w14:paraId="00CA0427">
            <w:pPr>
              <w:autoSpaceDE w:val="0"/>
              <w:autoSpaceDN w:val="0"/>
              <w:snapToGrid w:val="0"/>
              <w:spacing w:line="360" w:lineRule="auto"/>
              <w:jc w:val="center"/>
              <w:textAlignment w:val="bottom"/>
              <w:rPr>
                <w:rFonts w:ascii="宋体" w:hAnsi="宋体" w:cs="宋体"/>
                <w:kern w:val="0"/>
                <w:szCs w:val="21"/>
              </w:rPr>
            </w:pPr>
            <w:r>
              <w:rPr>
                <w:szCs w:val="21"/>
              </w:rPr>
              <w:t>预算金额及最高限价</w:t>
            </w:r>
          </w:p>
        </w:tc>
        <w:tc>
          <w:tcPr>
            <w:tcW w:w="6405" w:type="dxa"/>
            <w:tcBorders>
              <w:tl2br w:val="nil"/>
              <w:tr2bl w:val="nil"/>
            </w:tcBorders>
            <w:vAlign w:val="center"/>
          </w:tcPr>
          <w:p w14:paraId="39FDAEE9">
            <w:pPr>
              <w:spacing w:line="360" w:lineRule="auto"/>
              <w:jc w:val="left"/>
              <w:rPr>
                <w:rFonts w:ascii="宋体" w:hAnsi="宋体" w:cs="宋体"/>
                <w:szCs w:val="21"/>
              </w:rPr>
            </w:pPr>
            <w:r>
              <w:rPr>
                <w:rFonts w:hint="eastAsia" w:ascii="宋体" w:hAnsi="宋体" w:cs="宋体"/>
                <w:szCs w:val="21"/>
              </w:rPr>
              <w:t>详见单一来源采购文件第一章《单一来源采购邀请书》</w:t>
            </w:r>
          </w:p>
        </w:tc>
      </w:tr>
      <w:tr w14:paraId="32C07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370C8F12">
            <w:pPr>
              <w:pStyle w:val="18"/>
              <w:spacing w:line="360" w:lineRule="auto"/>
              <w:jc w:val="center"/>
              <w:rPr>
                <w:rFonts w:hAnsi="宋体" w:cs="宋体"/>
                <w:sz w:val="21"/>
                <w:szCs w:val="21"/>
              </w:rPr>
            </w:pPr>
            <w:r>
              <w:rPr>
                <w:rFonts w:hint="eastAsia" w:hAnsi="宋体" w:cs="宋体"/>
                <w:sz w:val="21"/>
                <w:szCs w:val="21"/>
              </w:rPr>
              <w:t>2.3</w:t>
            </w:r>
          </w:p>
        </w:tc>
        <w:tc>
          <w:tcPr>
            <w:tcW w:w="2457" w:type="dxa"/>
            <w:tcBorders>
              <w:tl2br w:val="nil"/>
              <w:tr2bl w:val="nil"/>
            </w:tcBorders>
            <w:vAlign w:val="center"/>
          </w:tcPr>
          <w:p w14:paraId="0DC1900E">
            <w:pPr>
              <w:pStyle w:val="18"/>
              <w:spacing w:line="360" w:lineRule="auto"/>
              <w:jc w:val="center"/>
              <w:rPr>
                <w:rFonts w:hAnsi="宋体" w:cs="宋体"/>
                <w:sz w:val="21"/>
                <w:szCs w:val="21"/>
              </w:rPr>
            </w:pPr>
            <w:r>
              <w:rPr>
                <w:rFonts w:hint="eastAsia" w:ascii="Times New Roman"/>
                <w:kern w:val="2"/>
                <w:sz w:val="21"/>
                <w:szCs w:val="21"/>
              </w:rPr>
              <w:t>采购需求</w:t>
            </w:r>
          </w:p>
        </w:tc>
        <w:tc>
          <w:tcPr>
            <w:tcW w:w="6405" w:type="dxa"/>
            <w:tcBorders>
              <w:tl2br w:val="nil"/>
              <w:tr2bl w:val="nil"/>
            </w:tcBorders>
            <w:vAlign w:val="center"/>
          </w:tcPr>
          <w:p w14:paraId="48152BD5">
            <w:pPr>
              <w:pStyle w:val="18"/>
              <w:spacing w:line="360" w:lineRule="auto"/>
              <w:rPr>
                <w:rFonts w:hAnsi="宋体" w:cs="宋体"/>
                <w:sz w:val="21"/>
                <w:szCs w:val="21"/>
              </w:rPr>
            </w:pPr>
            <w:bookmarkStart w:id="107" w:name="OLE_LINK36"/>
            <w:r>
              <w:rPr>
                <w:rFonts w:hint="eastAsia" w:hAnsi="宋体" w:cs="宋体"/>
                <w:sz w:val="21"/>
                <w:szCs w:val="21"/>
              </w:rPr>
              <w:t>详见单一来源采购文件第一章《单一来源采购邀请书》</w:t>
            </w:r>
            <w:bookmarkEnd w:id="107"/>
          </w:p>
        </w:tc>
      </w:tr>
      <w:tr w14:paraId="1C5AE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7B176AB3">
            <w:pPr>
              <w:pStyle w:val="18"/>
              <w:spacing w:line="360" w:lineRule="auto"/>
              <w:jc w:val="center"/>
              <w:rPr>
                <w:rFonts w:hAnsi="宋体" w:cs="宋体"/>
                <w:sz w:val="21"/>
                <w:szCs w:val="21"/>
              </w:rPr>
            </w:pPr>
            <w:r>
              <w:rPr>
                <w:rFonts w:hint="eastAsia" w:hAnsi="宋体" w:cs="宋体"/>
                <w:sz w:val="21"/>
                <w:szCs w:val="21"/>
              </w:rPr>
              <w:t>2.4</w:t>
            </w:r>
          </w:p>
        </w:tc>
        <w:tc>
          <w:tcPr>
            <w:tcW w:w="2457" w:type="dxa"/>
            <w:tcBorders>
              <w:tl2br w:val="nil"/>
              <w:tr2bl w:val="nil"/>
            </w:tcBorders>
            <w:vAlign w:val="center"/>
          </w:tcPr>
          <w:p w14:paraId="667F0DA2">
            <w:pPr>
              <w:adjustRightInd w:val="0"/>
              <w:spacing w:line="360" w:lineRule="auto"/>
              <w:ind w:firstLine="105" w:firstLineChars="50"/>
              <w:jc w:val="center"/>
              <w:rPr>
                <w:rFonts w:ascii="宋体" w:hAnsi="宋体" w:cs="宋体"/>
                <w:szCs w:val="21"/>
              </w:rPr>
            </w:pPr>
            <w:r>
              <w:rPr>
                <w:rFonts w:hint="eastAsia" w:ascii="宋体" w:hAnsi="宋体" w:cs="宋体"/>
                <w:szCs w:val="21"/>
              </w:rPr>
              <w:t>合同履行期限（服务期限）</w:t>
            </w:r>
          </w:p>
        </w:tc>
        <w:tc>
          <w:tcPr>
            <w:tcW w:w="6405" w:type="dxa"/>
            <w:tcBorders>
              <w:tl2br w:val="nil"/>
              <w:tr2bl w:val="nil"/>
            </w:tcBorders>
            <w:vAlign w:val="center"/>
          </w:tcPr>
          <w:p w14:paraId="18A63DEE">
            <w:pPr>
              <w:spacing w:line="360" w:lineRule="auto"/>
              <w:rPr>
                <w:rFonts w:ascii="宋体" w:hAnsi="宋体" w:cs="宋体"/>
                <w:szCs w:val="21"/>
              </w:rPr>
            </w:pPr>
            <w:bookmarkStart w:id="108" w:name="OLE_LINK37" w:colFirst="2" w:colLast="2"/>
            <w:r>
              <w:rPr>
                <w:rFonts w:hint="eastAsia" w:ascii="宋体" w:hAnsi="宋体" w:cs="宋体"/>
                <w:szCs w:val="21"/>
              </w:rPr>
              <w:t>详见单一来源采购文件第一章《单一来源采购邀请书》</w:t>
            </w:r>
          </w:p>
        </w:tc>
      </w:tr>
      <w:tr w14:paraId="4C7F67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1BCDD1D5">
            <w:pPr>
              <w:pStyle w:val="18"/>
              <w:spacing w:line="360" w:lineRule="auto"/>
              <w:jc w:val="center"/>
              <w:rPr>
                <w:rFonts w:hAnsi="宋体" w:cs="宋体"/>
                <w:sz w:val="21"/>
                <w:szCs w:val="21"/>
              </w:rPr>
            </w:pPr>
            <w:r>
              <w:rPr>
                <w:rFonts w:hint="eastAsia" w:hAnsi="宋体" w:cs="宋体"/>
                <w:sz w:val="21"/>
                <w:szCs w:val="21"/>
              </w:rPr>
              <w:t>2.5</w:t>
            </w:r>
          </w:p>
        </w:tc>
        <w:tc>
          <w:tcPr>
            <w:tcW w:w="2457" w:type="dxa"/>
            <w:tcBorders>
              <w:tl2br w:val="nil"/>
              <w:tr2bl w:val="nil"/>
            </w:tcBorders>
            <w:vAlign w:val="center"/>
          </w:tcPr>
          <w:p w14:paraId="67AE7296">
            <w:pPr>
              <w:adjustRightInd w:val="0"/>
              <w:spacing w:line="360" w:lineRule="auto"/>
              <w:ind w:firstLine="105" w:firstLineChars="50"/>
              <w:jc w:val="center"/>
              <w:rPr>
                <w:rFonts w:ascii="宋体" w:hAnsi="宋体" w:cs="宋体"/>
                <w:szCs w:val="21"/>
              </w:rPr>
            </w:pPr>
            <w:r>
              <w:rPr>
                <w:rFonts w:hint="eastAsia" w:ascii="宋体" w:hAnsi="宋体" w:cs="宋体"/>
                <w:szCs w:val="21"/>
              </w:rPr>
              <w:t>服务地点</w:t>
            </w:r>
          </w:p>
        </w:tc>
        <w:tc>
          <w:tcPr>
            <w:tcW w:w="6405" w:type="dxa"/>
            <w:tcBorders>
              <w:tl2br w:val="nil"/>
              <w:tr2bl w:val="nil"/>
            </w:tcBorders>
            <w:vAlign w:val="center"/>
          </w:tcPr>
          <w:p w14:paraId="608C25F4">
            <w:pPr>
              <w:spacing w:line="360" w:lineRule="auto"/>
              <w:rPr>
                <w:rFonts w:ascii="宋体" w:hAnsi="宋体" w:cs="宋体"/>
                <w:szCs w:val="21"/>
              </w:rPr>
            </w:pPr>
            <w:bookmarkStart w:id="109" w:name="OLE_LINK38"/>
            <w:r>
              <w:rPr>
                <w:rFonts w:hint="eastAsia" w:ascii="宋体" w:hAnsi="宋体" w:cs="宋体"/>
                <w:szCs w:val="21"/>
              </w:rPr>
              <w:t>详见单一来源采购文件第一章《单一来源采购邀请书》</w:t>
            </w:r>
            <w:bookmarkEnd w:id="109"/>
          </w:p>
        </w:tc>
      </w:tr>
      <w:tr w14:paraId="38F706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4ABE504A">
            <w:pPr>
              <w:pStyle w:val="18"/>
              <w:spacing w:line="360" w:lineRule="auto"/>
              <w:jc w:val="center"/>
              <w:rPr>
                <w:rFonts w:hAnsi="宋体" w:cs="宋体"/>
                <w:sz w:val="21"/>
                <w:szCs w:val="21"/>
              </w:rPr>
            </w:pPr>
            <w:r>
              <w:rPr>
                <w:rFonts w:hint="eastAsia" w:hAnsi="宋体" w:cs="宋体"/>
                <w:sz w:val="21"/>
                <w:szCs w:val="21"/>
              </w:rPr>
              <w:t>3.1</w:t>
            </w:r>
          </w:p>
        </w:tc>
        <w:tc>
          <w:tcPr>
            <w:tcW w:w="2457" w:type="dxa"/>
            <w:tcBorders>
              <w:tl2br w:val="nil"/>
              <w:tr2bl w:val="nil"/>
            </w:tcBorders>
            <w:vAlign w:val="center"/>
          </w:tcPr>
          <w:p w14:paraId="426DFF3E">
            <w:pPr>
              <w:spacing w:line="360" w:lineRule="auto"/>
              <w:jc w:val="center"/>
              <w:rPr>
                <w:szCs w:val="21"/>
              </w:rPr>
            </w:pPr>
            <w:r>
              <w:rPr>
                <w:rFonts w:hint="eastAsia"/>
                <w:bCs/>
                <w:szCs w:val="21"/>
              </w:rPr>
              <w:t>供应商</w:t>
            </w:r>
            <w:r>
              <w:rPr>
                <w:bCs/>
                <w:szCs w:val="21"/>
              </w:rPr>
              <w:t>资格要求</w:t>
            </w:r>
          </w:p>
        </w:tc>
        <w:tc>
          <w:tcPr>
            <w:tcW w:w="6405" w:type="dxa"/>
            <w:tcBorders>
              <w:tl2br w:val="nil"/>
              <w:tr2bl w:val="nil"/>
            </w:tcBorders>
            <w:vAlign w:val="center"/>
          </w:tcPr>
          <w:p w14:paraId="2AEB7B94">
            <w:pPr>
              <w:spacing w:line="360" w:lineRule="auto"/>
              <w:rPr>
                <w:rFonts w:ascii="宋体" w:hAnsi="宋体" w:cs="宋体"/>
                <w:szCs w:val="21"/>
              </w:rPr>
            </w:pPr>
            <w:r>
              <w:rPr>
                <w:rFonts w:hint="eastAsia" w:ascii="宋体" w:hAnsi="宋体" w:cs="宋体"/>
                <w:szCs w:val="21"/>
              </w:rPr>
              <w:t>详见单一来源采购文件第一章《单一来源采购邀请书》</w:t>
            </w:r>
          </w:p>
          <w:bookmarkEnd w:id="108"/>
        </w:tc>
      </w:tr>
      <w:tr w14:paraId="4F0D73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54C875EC">
            <w:pPr>
              <w:pStyle w:val="18"/>
              <w:spacing w:line="360" w:lineRule="auto"/>
              <w:jc w:val="center"/>
              <w:rPr>
                <w:rFonts w:hAnsi="宋体" w:cs="宋体"/>
                <w:sz w:val="21"/>
                <w:szCs w:val="21"/>
              </w:rPr>
            </w:pPr>
            <w:r>
              <w:rPr>
                <w:rFonts w:hint="eastAsia" w:hAnsi="宋体" w:cs="宋体"/>
                <w:sz w:val="21"/>
                <w:szCs w:val="21"/>
              </w:rPr>
              <w:t>3.2</w:t>
            </w:r>
          </w:p>
        </w:tc>
        <w:tc>
          <w:tcPr>
            <w:tcW w:w="2457" w:type="dxa"/>
            <w:tcBorders>
              <w:tl2br w:val="nil"/>
              <w:tr2bl w:val="nil"/>
            </w:tcBorders>
            <w:vAlign w:val="center"/>
          </w:tcPr>
          <w:p w14:paraId="779BF5F4">
            <w:pPr>
              <w:spacing w:line="360" w:lineRule="auto"/>
              <w:jc w:val="center"/>
              <w:rPr>
                <w:rFonts w:ascii="宋体" w:hAnsi="宋体" w:cs="宋体"/>
                <w:szCs w:val="21"/>
              </w:rPr>
            </w:pPr>
            <w:bookmarkStart w:id="110" w:name="OLE_LINK39" w:colFirst="1" w:colLast="1"/>
            <w:r>
              <w:rPr>
                <w:bCs/>
                <w:szCs w:val="21"/>
              </w:rPr>
              <w:t>落实政府采购政策需满足的资格要求</w:t>
            </w:r>
          </w:p>
        </w:tc>
        <w:tc>
          <w:tcPr>
            <w:tcW w:w="6405" w:type="dxa"/>
            <w:tcBorders>
              <w:tl2br w:val="nil"/>
              <w:tr2bl w:val="nil"/>
            </w:tcBorders>
            <w:vAlign w:val="center"/>
          </w:tcPr>
          <w:p w14:paraId="2F8AA941">
            <w:pPr>
              <w:spacing w:line="360" w:lineRule="auto"/>
              <w:rPr>
                <w:rFonts w:ascii="宋体" w:hAnsi="宋体" w:cs="宋体"/>
                <w:szCs w:val="21"/>
              </w:rPr>
            </w:pPr>
            <w:bookmarkStart w:id="111" w:name="OLE_LINK41" w:colFirst="2" w:colLast="2"/>
            <w:r>
              <w:rPr>
                <w:rFonts w:hint="eastAsia" w:ascii="宋体" w:hAnsi="宋体" w:cs="宋体"/>
                <w:szCs w:val="21"/>
              </w:rPr>
              <w:t>详见单一来源采购文件第一章《单一来源采购邀请书》</w:t>
            </w:r>
          </w:p>
        </w:tc>
      </w:tr>
      <w:tr w14:paraId="077080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31" w:type="dxa"/>
            <w:tcBorders>
              <w:tl2br w:val="nil"/>
              <w:tr2bl w:val="nil"/>
            </w:tcBorders>
            <w:vAlign w:val="center"/>
          </w:tcPr>
          <w:p w14:paraId="164FD3F0">
            <w:pPr>
              <w:pStyle w:val="18"/>
              <w:spacing w:line="360" w:lineRule="auto"/>
              <w:jc w:val="center"/>
              <w:rPr>
                <w:rFonts w:hAnsi="宋体" w:cs="宋体"/>
                <w:sz w:val="21"/>
                <w:szCs w:val="21"/>
              </w:rPr>
            </w:pPr>
            <w:r>
              <w:rPr>
                <w:rFonts w:hint="eastAsia" w:hAnsi="宋体" w:cs="宋体"/>
                <w:sz w:val="21"/>
                <w:szCs w:val="21"/>
              </w:rPr>
              <w:t>3.3</w:t>
            </w:r>
          </w:p>
        </w:tc>
        <w:tc>
          <w:tcPr>
            <w:tcW w:w="2457" w:type="dxa"/>
            <w:tcBorders>
              <w:tl2br w:val="nil"/>
              <w:tr2bl w:val="nil"/>
            </w:tcBorders>
            <w:vAlign w:val="center"/>
          </w:tcPr>
          <w:p w14:paraId="58B6B3CB">
            <w:pPr>
              <w:spacing w:line="360" w:lineRule="auto"/>
              <w:jc w:val="center"/>
              <w:rPr>
                <w:rFonts w:ascii="宋体" w:hAnsi="宋体" w:cs="宋体"/>
                <w:szCs w:val="21"/>
              </w:rPr>
            </w:pPr>
            <w:r>
              <w:rPr>
                <w:szCs w:val="21"/>
              </w:rPr>
              <w:t>本项目的特定资格要求</w:t>
            </w:r>
          </w:p>
        </w:tc>
        <w:tc>
          <w:tcPr>
            <w:tcW w:w="6405" w:type="dxa"/>
            <w:tcBorders>
              <w:tl2br w:val="nil"/>
              <w:tr2bl w:val="nil"/>
            </w:tcBorders>
            <w:vAlign w:val="center"/>
          </w:tcPr>
          <w:p w14:paraId="5F11F5DC">
            <w:pPr>
              <w:spacing w:line="360" w:lineRule="auto"/>
              <w:rPr>
                <w:rFonts w:ascii="宋体" w:hAnsi="宋体" w:cs="宋体"/>
                <w:szCs w:val="21"/>
              </w:rPr>
            </w:pPr>
            <w:bookmarkStart w:id="112" w:name="OLE_LINK45"/>
            <w:r>
              <w:rPr>
                <w:rFonts w:hint="eastAsia" w:ascii="宋体" w:hAnsi="宋体" w:cs="宋体"/>
                <w:szCs w:val="21"/>
              </w:rPr>
              <w:t>详见单一来源采购文件第一章《单一来源采购邀请书》</w:t>
            </w:r>
            <w:bookmarkEnd w:id="112"/>
          </w:p>
        </w:tc>
      </w:tr>
      <w:tr w14:paraId="60426A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31" w:type="dxa"/>
            <w:tcBorders>
              <w:tl2br w:val="nil"/>
              <w:tr2bl w:val="nil"/>
            </w:tcBorders>
            <w:vAlign w:val="center"/>
          </w:tcPr>
          <w:p w14:paraId="0737F2BA">
            <w:pPr>
              <w:pStyle w:val="18"/>
              <w:spacing w:line="360" w:lineRule="auto"/>
              <w:jc w:val="center"/>
              <w:rPr>
                <w:rFonts w:hAnsi="宋体" w:cs="宋体"/>
                <w:sz w:val="21"/>
                <w:szCs w:val="21"/>
              </w:rPr>
            </w:pPr>
            <w:r>
              <w:rPr>
                <w:rFonts w:hint="eastAsia" w:hAnsi="宋体" w:cs="宋体"/>
                <w:sz w:val="21"/>
                <w:szCs w:val="21"/>
              </w:rPr>
              <w:t>4.1</w:t>
            </w:r>
          </w:p>
        </w:tc>
        <w:tc>
          <w:tcPr>
            <w:tcW w:w="2457" w:type="dxa"/>
            <w:tcBorders>
              <w:tl2br w:val="nil"/>
              <w:tr2bl w:val="nil"/>
            </w:tcBorders>
            <w:vAlign w:val="center"/>
          </w:tcPr>
          <w:p w14:paraId="0ACA96E7">
            <w:pPr>
              <w:adjustRightInd w:val="0"/>
              <w:spacing w:line="360" w:lineRule="auto"/>
              <w:ind w:firstLine="105" w:firstLineChars="50"/>
              <w:jc w:val="center"/>
              <w:rPr>
                <w:szCs w:val="21"/>
              </w:rPr>
            </w:pPr>
            <w:r>
              <w:rPr>
                <w:bCs/>
                <w:szCs w:val="21"/>
              </w:rPr>
              <w:t>是否接受联合体</w:t>
            </w:r>
          </w:p>
          <w:bookmarkEnd w:id="110"/>
        </w:tc>
        <w:tc>
          <w:tcPr>
            <w:tcW w:w="6405" w:type="dxa"/>
            <w:tcBorders>
              <w:tl2br w:val="nil"/>
              <w:tr2bl w:val="nil"/>
            </w:tcBorders>
            <w:vAlign w:val="center"/>
          </w:tcPr>
          <w:p w14:paraId="214C1066">
            <w:pPr>
              <w:spacing w:line="360" w:lineRule="auto"/>
              <w:rPr>
                <w:rFonts w:ascii="宋体" w:hAnsi="宋体" w:cs="宋体"/>
                <w:szCs w:val="21"/>
              </w:rPr>
            </w:pPr>
            <w:bookmarkStart w:id="113" w:name="OLE_LINK42" w:colFirst="2" w:colLast="2"/>
            <w:r>
              <w:rPr>
                <w:rFonts w:hint="eastAsia" w:ascii="宋体" w:hAnsi="宋体" w:cs="宋体"/>
                <w:szCs w:val="21"/>
              </w:rPr>
              <w:t>详见单一来源采购文件第一章《单一来源采购邀请书》</w:t>
            </w:r>
          </w:p>
          <w:bookmarkEnd w:id="111"/>
        </w:tc>
      </w:tr>
      <w:tr w14:paraId="74C17C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01B318DF">
            <w:pPr>
              <w:pStyle w:val="18"/>
              <w:spacing w:line="360" w:lineRule="auto"/>
              <w:jc w:val="center"/>
              <w:rPr>
                <w:rFonts w:hAnsi="宋体" w:cs="宋体"/>
                <w:sz w:val="21"/>
                <w:szCs w:val="21"/>
              </w:rPr>
            </w:pPr>
            <w:r>
              <w:rPr>
                <w:rFonts w:hint="eastAsia" w:hAnsi="宋体" w:cs="宋体"/>
                <w:sz w:val="21"/>
                <w:szCs w:val="21"/>
              </w:rPr>
              <w:t>5.1</w:t>
            </w:r>
          </w:p>
        </w:tc>
        <w:tc>
          <w:tcPr>
            <w:tcW w:w="2457" w:type="dxa"/>
            <w:tcBorders>
              <w:tl2br w:val="nil"/>
              <w:tr2bl w:val="nil"/>
            </w:tcBorders>
            <w:vAlign w:val="center"/>
          </w:tcPr>
          <w:p w14:paraId="1A72229F">
            <w:pPr>
              <w:spacing w:line="360" w:lineRule="auto"/>
              <w:jc w:val="center"/>
              <w:rPr>
                <w:rFonts w:ascii="宋体" w:hAnsi="宋体" w:cs="宋体"/>
                <w:szCs w:val="21"/>
              </w:rPr>
            </w:pPr>
            <w:r>
              <w:rPr>
                <w:rFonts w:hint="eastAsia" w:ascii="宋体" w:hAnsi="宋体" w:cs="宋体"/>
                <w:szCs w:val="21"/>
              </w:rPr>
              <w:t>现场考察</w:t>
            </w:r>
          </w:p>
        </w:tc>
        <w:tc>
          <w:tcPr>
            <w:tcW w:w="6405" w:type="dxa"/>
            <w:tcBorders>
              <w:tl2br w:val="nil"/>
              <w:tr2bl w:val="nil"/>
            </w:tcBorders>
            <w:vAlign w:val="center"/>
          </w:tcPr>
          <w:p w14:paraId="5B4E34B8">
            <w:pPr>
              <w:spacing w:line="360" w:lineRule="auto"/>
              <w:rPr>
                <w:szCs w:val="21"/>
              </w:rPr>
            </w:pPr>
            <w:r>
              <w:rPr>
                <w:rFonts w:hint="eastAsia"/>
                <w:szCs w:val="21"/>
              </w:rPr>
              <w:t xml:space="preserve">☑不组织 </w:t>
            </w:r>
          </w:p>
          <w:p w14:paraId="55A5E59F">
            <w:pPr>
              <w:spacing w:line="360" w:lineRule="auto"/>
              <w:rPr>
                <w:szCs w:val="21"/>
              </w:rPr>
            </w:pPr>
            <w:r>
              <w:rPr>
                <w:rFonts w:hint="eastAsia"/>
                <w:szCs w:val="21"/>
              </w:rPr>
              <w:t>□组织：</w:t>
            </w:r>
          </w:p>
          <w:p w14:paraId="6FCF1EB4">
            <w:pPr>
              <w:spacing w:line="360" w:lineRule="auto"/>
              <w:rPr>
                <w:szCs w:val="21"/>
              </w:rPr>
            </w:pPr>
            <w:r>
              <w:rPr>
                <w:rFonts w:hint="eastAsia"/>
                <w:szCs w:val="21"/>
              </w:rPr>
              <w:t xml:space="preserve">考察时间：年月日点分 </w:t>
            </w:r>
          </w:p>
          <w:p w14:paraId="5C748965">
            <w:pPr>
              <w:spacing w:line="360" w:lineRule="auto"/>
              <w:rPr>
                <w:rFonts w:ascii="宋体" w:hAnsi="宋体" w:cs="宋体"/>
                <w:szCs w:val="21"/>
              </w:rPr>
            </w:pPr>
            <w:r>
              <w:rPr>
                <w:rFonts w:hint="eastAsia"/>
                <w:szCs w:val="21"/>
              </w:rPr>
              <w:t>考察地点：</w:t>
            </w:r>
            <w:r>
              <w:rPr>
                <w:szCs w:val="21"/>
              </w:rPr>
              <w:t>____________</w:t>
            </w:r>
          </w:p>
        </w:tc>
      </w:tr>
      <w:tr w14:paraId="42D844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26AA4CB2">
            <w:pPr>
              <w:pStyle w:val="18"/>
              <w:spacing w:line="360" w:lineRule="auto"/>
              <w:jc w:val="center"/>
              <w:rPr>
                <w:rFonts w:hAnsi="宋体" w:cs="宋体"/>
                <w:sz w:val="21"/>
                <w:szCs w:val="21"/>
              </w:rPr>
            </w:pPr>
            <w:r>
              <w:rPr>
                <w:rFonts w:hint="eastAsia" w:hAnsi="宋体" w:cs="宋体"/>
                <w:sz w:val="21"/>
                <w:szCs w:val="21"/>
              </w:rPr>
              <w:t>5.2</w:t>
            </w:r>
          </w:p>
        </w:tc>
        <w:tc>
          <w:tcPr>
            <w:tcW w:w="2457" w:type="dxa"/>
            <w:tcBorders>
              <w:tl2br w:val="nil"/>
              <w:tr2bl w:val="nil"/>
            </w:tcBorders>
            <w:vAlign w:val="center"/>
          </w:tcPr>
          <w:p w14:paraId="11868863">
            <w:pPr>
              <w:spacing w:line="360" w:lineRule="auto"/>
              <w:jc w:val="center"/>
              <w:rPr>
                <w:rFonts w:ascii="宋体" w:hAnsi="宋体" w:cs="宋体"/>
                <w:szCs w:val="21"/>
              </w:rPr>
            </w:pPr>
            <w:bookmarkStart w:id="114" w:name="OLE_LINK43"/>
            <w:r>
              <w:rPr>
                <w:rFonts w:hint="eastAsia" w:ascii="宋体" w:hAnsi="宋体" w:cs="宋体"/>
                <w:szCs w:val="21"/>
              </w:rPr>
              <w:t>采购</w:t>
            </w:r>
            <w:bookmarkEnd w:id="114"/>
            <w:r>
              <w:rPr>
                <w:rFonts w:hint="eastAsia" w:ascii="宋体" w:hAnsi="宋体" w:cs="宋体"/>
                <w:szCs w:val="21"/>
              </w:rPr>
              <w:t>前答疑会</w:t>
            </w:r>
          </w:p>
        </w:tc>
        <w:tc>
          <w:tcPr>
            <w:tcW w:w="6405" w:type="dxa"/>
            <w:tcBorders>
              <w:tl2br w:val="nil"/>
              <w:tr2bl w:val="nil"/>
            </w:tcBorders>
            <w:vAlign w:val="center"/>
          </w:tcPr>
          <w:p w14:paraId="34634D30">
            <w:pPr>
              <w:spacing w:line="360" w:lineRule="auto"/>
              <w:rPr>
                <w:szCs w:val="21"/>
              </w:rPr>
            </w:pPr>
            <w:r>
              <w:rPr>
                <w:rFonts w:hint="eastAsia"/>
                <w:szCs w:val="21"/>
              </w:rPr>
              <w:t>☑不召开</w:t>
            </w:r>
          </w:p>
          <w:p w14:paraId="2A11388D">
            <w:pPr>
              <w:spacing w:line="360" w:lineRule="auto"/>
              <w:rPr>
                <w:szCs w:val="21"/>
              </w:rPr>
            </w:pPr>
            <w:r>
              <w:rPr>
                <w:rFonts w:hint="eastAsia"/>
                <w:szCs w:val="21"/>
              </w:rPr>
              <w:t>□召开</w:t>
            </w:r>
          </w:p>
          <w:p w14:paraId="242A7FBA">
            <w:pPr>
              <w:spacing w:line="360" w:lineRule="auto"/>
              <w:rPr>
                <w:szCs w:val="21"/>
              </w:rPr>
            </w:pPr>
            <w:r>
              <w:rPr>
                <w:rFonts w:hint="eastAsia"/>
                <w:szCs w:val="21"/>
              </w:rPr>
              <w:t xml:space="preserve">召开时间：年月日点分 </w:t>
            </w:r>
          </w:p>
          <w:p w14:paraId="5F1A3071">
            <w:pPr>
              <w:spacing w:line="360" w:lineRule="auto"/>
              <w:jc w:val="left"/>
              <w:rPr>
                <w:rFonts w:ascii="宋体" w:hAnsi="宋体" w:cs="宋体"/>
                <w:szCs w:val="21"/>
              </w:rPr>
            </w:pPr>
            <w:r>
              <w:rPr>
                <w:rFonts w:hint="eastAsia"/>
                <w:szCs w:val="21"/>
              </w:rPr>
              <w:t>召开地点：</w:t>
            </w:r>
            <w:r>
              <w:rPr>
                <w:szCs w:val="21"/>
              </w:rPr>
              <w:t>____________</w:t>
            </w:r>
          </w:p>
          <w:bookmarkEnd w:id="113"/>
        </w:tc>
      </w:tr>
      <w:tr w14:paraId="290FC4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31" w:type="dxa"/>
            <w:tcBorders>
              <w:tl2br w:val="nil"/>
              <w:tr2bl w:val="nil"/>
            </w:tcBorders>
            <w:vAlign w:val="center"/>
          </w:tcPr>
          <w:p w14:paraId="6B722D7F">
            <w:pPr>
              <w:pStyle w:val="18"/>
              <w:spacing w:line="360" w:lineRule="auto"/>
              <w:jc w:val="center"/>
              <w:rPr>
                <w:rFonts w:hAnsi="宋体" w:cs="宋体"/>
                <w:sz w:val="21"/>
                <w:szCs w:val="21"/>
              </w:rPr>
            </w:pPr>
            <w:r>
              <w:rPr>
                <w:rFonts w:hint="eastAsia" w:hAnsi="宋体" w:cs="宋体"/>
                <w:sz w:val="21"/>
                <w:szCs w:val="21"/>
              </w:rPr>
              <w:t>10.1</w:t>
            </w:r>
          </w:p>
        </w:tc>
        <w:tc>
          <w:tcPr>
            <w:tcW w:w="2457" w:type="dxa"/>
            <w:tcBorders>
              <w:tl2br w:val="nil"/>
              <w:tr2bl w:val="nil"/>
            </w:tcBorders>
            <w:vAlign w:val="center"/>
          </w:tcPr>
          <w:p w14:paraId="5FA45243">
            <w:pPr>
              <w:spacing w:line="360" w:lineRule="auto"/>
              <w:jc w:val="center"/>
              <w:rPr>
                <w:rFonts w:ascii="宋体" w:hAnsi="宋体" w:cs="宋体"/>
                <w:szCs w:val="21"/>
              </w:rPr>
            </w:pPr>
            <w:r>
              <w:rPr>
                <w:rFonts w:hint="eastAsia" w:ascii="宋体" w:hAnsi="宋体" w:cs="宋体"/>
                <w:szCs w:val="21"/>
              </w:rPr>
              <w:t>询问</w:t>
            </w:r>
          </w:p>
        </w:tc>
        <w:tc>
          <w:tcPr>
            <w:tcW w:w="6405" w:type="dxa"/>
            <w:tcBorders>
              <w:tl2br w:val="nil"/>
              <w:tr2bl w:val="nil"/>
            </w:tcBorders>
            <w:vAlign w:val="center"/>
          </w:tcPr>
          <w:p w14:paraId="6330D352">
            <w:pPr>
              <w:autoSpaceDE w:val="0"/>
              <w:autoSpaceDN w:val="0"/>
              <w:adjustRightInd w:val="0"/>
              <w:spacing w:line="360" w:lineRule="auto"/>
              <w:jc w:val="left"/>
              <w:rPr>
                <w:rFonts w:ascii="宋体" w:hAnsi="宋体" w:cs="宋体"/>
                <w:szCs w:val="21"/>
              </w:rPr>
            </w:pPr>
            <w:bookmarkStart w:id="115" w:name="OLE_LINK48"/>
            <w:r>
              <w:rPr>
                <w:rFonts w:hint="eastAsia" w:ascii="宋体" w:hAnsi="宋体" w:cs="宋体"/>
                <w:szCs w:val="21"/>
              </w:rPr>
              <w:t>供应商应认真阅读单一来源采购文件，如有疑问的，供应商可以向采购人或采购代理机构提出询问，采购人或者采购代理机构在接到询问后</w:t>
            </w:r>
            <w:bookmarkStart w:id="116" w:name="OLE_LINK47"/>
            <w:r>
              <w:rPr>
                <w:rFonts w:hint="eastAsia" w:ascii="宋体" w:hAnsi="宋体" w:cs="宋体"/>
                <w:szCs w:val="21"/>
              </w:rPr>
              <w:t>的3个工作</w:t>
            </w:r>
            <w:bookmarkEnd w:id="116"/>
            <w:r>
              <w:rPr>
                <w:rFonts w:hint="eastAsia" w:ascii="宋体" w:hAnsi="宋体" w:cs="宋体"/>
                <w:szCs w:val="21"/>
              </w:rPr>
              <w:t>日内对供应商依法提出的询问作出答复，但答复的内容不涉及商业秘密。</w:t>
            </w:r>
            <w:bookmarkEnd w:id="115"/>
          </w:p>
        </w:tc>
      </w:tr>
      <w:tr w14:paraId="1CDC26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31" w:type="dxa"/>
            <w:tcBorders>
              <w:tl2br w:val="nil"/>
              <w:tr2bl w:val="nil"/>
            </w:tcBorders>
            <w:vAlign w:val="center"/>
          </w:tcPr>
          <w:p w14:paraId="3F315B5A">
            <w:pPr>
              <w:pStyle w:val="18"/>
              <w:spacing w:line="360" w:lineRule="auto"/>
              <w:jc w:val="center"/>
              <w:rPr>
                <w:rFonts w:hAnsi="宋体" w:cs="宋体"/>
                <w:sz w:val="21"/>
                <w:szCs w:val="21"/>
              </w:rPr>
            </w:pPr>
            <w:r>
              <w:rPr>
                <w:rFonts w:hint="eastAsia" w:hAnsi="宋体" w:cs="宋体"/>
                <w:sz w:val="21"/>
                <w:szCs w:val="21"/>
              </w:rPr>
              <w:t>10.3</w:t>
            </w:r>
          </w:p>
        </w:tc>
        <w:tc>
          <w:tcPr>
            <w:tcW w:w="2457" w:type="dxa"/>
            <w:tcBorders>
              <w:tl2br w:val="nil"/>
              <w:tr2bl w:val="nil"/>
            </w:tcBorders>
            <w:vAlign w:val="center"/>
          </w:tcPr>
          <w:p w14:paraId="3E78AD63">
            <w:pPr>
              <w:spacing w:line="360" w:lineRule="auto"/>
              <w:jc w:val="center"/>
              <w:rPr>
                <w:rFonts w:ascii="宋体" w:hAnsi="宋体" w:cs="宋体"/>
                <w:szCs w:val="21"/>
              </w:rPr>
            </w:pPr>
            <w:r>
              <w:rPr>
                <w:rFonts w:hint="eastAsia" w:ascii="宋体" w:hAnsi="宋体" w:cs="宋体"/>
                <w:szCs w:val="21"/>
              </w:rPr>
              <w:t>询问联系方式</w:t>
            </w:r>
          </w:p>
        </w:tc>
        <w:tc>
          <w:tcPr>
            <w:tcW w:w="6405" w:type="dxa"/>
            <w:tcBorders>
              <w:tl2br w:val="nil"/>
              <w:tr2bl w:val="nil"/>
            </w:tcBorders>
            <w:vAlign w:val="center"/>
          </w:tcPr>
          <w:p w14:paraId="37BBEB37">
            <w:pPr>
              <w:spacing w:line="360" w:lineRule="auto"/>
              <w:jc w:val="left"/>
              <w:rPr>
                <w:rFonts w:ascii="宋体" w:hAnsi="宋体" w:cs="宋体"/>
                <w:szCs w:val="21"/>
              </w:rPr>
            </w:pPr>
            <w:r>
              <w:rPr>
                <w:rFonts w:hint="eastAsia" w:ascii="宋体" w:hAnsi="宋体" w:cs="宋体"/>
                <w:szCs w:val="21"/>
              </w:rPr>
              <w:t>详见单一来源采购文件第一章《单一来源采购邀请书》</w:t>
            </w:r>
          </w:p>
        </w:tc>
      </w:tr>
      <w:tr w14:paraId="1DD683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31" w:type="dxa"/>
            <w:tcBorders>
              <w:tl2br w:val="nil"/>
              <w:tr2bl w:val="nil"/>
            </w:tcBorders>
            <w:vAlign w:val="center"/>
          </w:tcPr>
          <w:p w14:paraId="137020DB">
            <w:pPr>
              <w:pStyle w:val="18"/>
              <w:spacing w:line="360" w:lineRule="auto"/>
              <w:jc w:val="center"/>
              <w:rPr>
                <w:rFonts w:hAnsi="宋体" w:cs="宋体"/>
                <w:sz w:val="21"/>
                <w:szCs w:val="21"/>
              </w:rPr>
            </w:pPr>
            <w:r>
              <w:rPr>
                <w:rFonts w:hint="eastAsia" w:hAnsi="宋体" w:cs="宋体"/>
                <w:sz w:val="21"/>
                <w:szCs w:val="21"/>
              </w:rPr>
              <w:t>11.1</w:t>
            </w:r>
          </w:p>
        </w:tc>
        <w:tc>
          <w:tcPr>
            <w:tcW w:w="2457" w:type="dxa"/>
            <w:tcBorders>
              <w:tl2br w:val="nil"/>
              <w:tr2bl w:val="nil"/>
            </w:tcBorders>
            <w:vAlign w:val="center"/>
          </w:tcPr>
          <w:p w14:paraId="5CB04696">
            <w:pPr>
              <w:spacing w:line="360" w:lineRule="auto"/>
              <w:jc w:val="center"/>
              <w:rPr>
                <w:rFonts w:ascii="宋体" w:hAnsi="宋体" w:cs="宋体"/>
                <w:szCs w:val="21"/>
              </w:rPr>
            </w:pPr>
            <w:r>
              <w:rPr>
                <w:rFonts w:hint="eastAsia" w:ascii="宋体" w:hAnsi="宋体" w:cs="宋体"/>
                <w:szCs w:val="21"/>
              </w:rPr>
              <w:t>单一来源采购文件澄清、修改时间</w:t>
            </w:r>
          </w:p>
        </w:tc>
        <w:tc>
          <w:tcPr>
            <w:tcW w:w="6405" w:type="dxa"/>
            <w:tcBorders>
              <w:tl2br w:val="nil"/>
              <w:tr2bl w:val="nil"/>
            </w:tcBorders>
            <w:vAlign w:val="center"/>
          </w:tcPr>
          <w:p w14:paraId="7D0C8F3C">
            <w:pPr>
              <w:autoSpaceDE w:val="0"/>
              <w:autoSpaceDN w:val="0"/>
              <w:adjustRightInd w:val="0"/>
              <w:spacing w:line="360" w:lineRule="auto"/>
              <w:jc w:val="left"/>
              <w:rPr>
                <w:rFonts w:ascii="宋体" w:hAnsi="宋体" w:cs="宋体"/>
                <w:szCs w:val="21"/>
              </w:rPr>
            </w:pPr>
            <w:bookmarkStart w:id="117" w:name="OLE_LINK46"/>
            <w:r>
              <w:rPr>
                <w:rFonts w:hint="eastAsia" w:ascii="宋体" w:hAnsi="宋体" w:cs="宋体"/>
                <w:szCs w:val="21"/>
              </w:rPr>
              <w:t>采购人、采购代理机构可以对已发出的单一来源采购文件进行必要的澄清或者修改，澄清或者修改的内容作为单一来源采购文件的组成部分。澄清或者修改的内容可能影响响应文件编制的，采购人、采购代理机构将在提交首次响应文件截止之日3个工作日前，以书面形式通知获取单一来源采购文件的供应商，不足3个工作日的，将顺延提交首次响应文件截止之日。</w:t>
            </w:r>
            <w:bookmarkEnd w:id="117"/>
          </w:p>
        </w:tc>
      </w:tr>
      <w:tr w14:paraId="1BF9FE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33069078">
            <w:pPr>
              <w:pStyle w:val="18"/>
              <w:spacing w:line="360" w:lineRule="auto"/>
              <w:jc w:val="center"/>
              <w:rPr>
                <w:rFonts w:hAnsi="宋体" w:cs="宋体"/>
                <w:sz w:val="21"/>
                <w:szCs w:val="21"/>
              </w:rPr>
            </w:pPr>
            <w:r>
              <w:rPr>
                <w:rFonts w:hint="eastAsia" w:hAnsi="宋体" w:cs="宋体"/>
                <w:sz w:val="21"/>
                <w:szCs w:val="21"/>
              </w:rPr>
              <w:t>17.1</w:t>
            </w:r>
          </w:p>
        </w:tc>
        <w:tc>
          <w:tcPr>
            <w:tcW w:w="2457" w:type="dxa"/>
            <w:tcBorders>
              <w:tl2br w:val="nil"/>
              <w:tr2bl w:val="nil"/>
            </w:tcBorders>
            <w:vAlign w:val="center"/>
          </w:tcPr>
          <w:p w14:paraId="370DCBF9">
            <w:pPr>
              <w:pStyle w:val="18"/>
              <w:spacing w:line="360" w:lineRule="auto"/>
              <w:jc w:val="center"/>
              <w:rPr>
                <w:rFonts w:hAnsi="宋体" w:cs="宋体"/>
                <w:sz w:val="21"/>
                <w:szCs w:val="21"/>
              </w:rPr>
            </w:pPr>
            <w:r>
              <w:rPr>
                <w:rFonts w:hint="eastAsia" w:hAnsi="宋体" w:cs="宋体"/>
                <w:sz w:val="21"/>
                <w:szCs w:val="21"/>
              </w:rPr>
              <w:t>响应文件有效期</w:t>
            </w:r>
          </w:p>
        </w:tc>
        <w:tc>
          <w:tcPr>
            <w:tcW w:w="6405" w:type="dxa"/>
            <w:tcBorders>
              <w:tl2br w:val="nil"/>
              <w:tr2bl w:val="nil"/>
            </w:tcBorders>
            <w:vAlign w:val="center"/>
          </w:tcPr>
          <w:p w14:paraId="0D3D7989">
            <w:pPr>
              <w:pStyle w:val="18"/>
              <w:spacing w:line="360" w:lineRule="auto"/>
              <w:rPr>
                <w:rFonts w:hAnsi="宋体" w:cs="宋体"/>
                <w:sz w:val="21"/>
                <w:szCs w:val="21"/>
              </w:rPr>
            </w:pPr>
            <w:r>
              <w:rPr>
                <w:rFonts w:hint="eastAsia" w:hAnsi="宋体" w:cs="宋体"/>
                <w:sz w:val="21"/>
                <w:szCs w:val="21"/>
              </w:rPr>
              <w:t>响应文件提交截止之日起</w:t>
            </w:r>
            <w:bookmarkStart w:id="118" w:name="OLE_LINK49"/>
            <w:r>
              <w:rPr>
                <w:rFonts w:hint="eastAsia" w:hAnsi="宋体" w:cs="宋体"/>
                <w:sz w:val="21"/>
                <w:szCs w:val="21"/>
              </w:rPr>
              <w:t>90</w:t>
            </w:r>
            <w:bookmarkEnd w:id="118"/>
            <w:r>
              <w:rPr>
                <w:rFonts w:hint="eastAsia" w:hAnsi="宋体" w:cs="宋体"/>
                <w:sz w:val="21"/>
                <w:szCs w:val="21"/>
              </w:rPr>
              <w:t>天</w:t>
            </w:r>
          </w:p>
        </w:tc>
      </w:tr>
      <w:tr w14:paraId="1D60B6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691DF8AD">
            <w:pPr>
              <w:pStyle w:val="18"/>
              <w:spacing w:line="360" w:lineRule="auto"/>
              <w:jc w:val="center"/>
              <w:rPr>
                <w:rFonts w:hAnsi="宋体" w:cs="宋体"/>
                <w:sz w:val="21"/>
                <w:szCs w:val="21"/>
              </w:rPr>
            </w:pPr>
            <w:r>
              <w:rPr>
                <w:rFonts w:hint="eastAsia" w:hAnsi="宋体" w:cs="宋体"/>
                <w:sz w:val="21"/>
                <w:szCs w:val="21"/>
              </w:rPr>
              <w:t>18.1</w:t>
            </w:r>
          </w:p>
        </w:tc>
        <w:tc>
          <w:tcPr>
            <w:tcW w:w="2457" w:type="dxa"/>
            <w:tcBorders>
              <w:tl2br w:val="nil"/>
              <w:tr2bl w:val="nil"/>
            </w:tcBorders>
            <w:vAlign w:val="center"/>
          </w:tcPr>
          <w:p w14:paraId="29DB4F4C">
            <w:pPr>
              <w:pStyle w:val="18"/>
              <w:spacing w:line="360" w:lineRule="auto"/>
              <w:jc w:val="center"/>
              <w:rPr>
                <w:rFonts w:hAnsi="宋体" w:cs="宋体"/>
                <w:sz w:val="21"/>
                <w:szCs w:val="21"/>
              </w:rPr>
            </w:pPr>
            <w:r>
              <w:rPr>
                <w:rFonts w:hint="eastAsia" w:hAnsi="宋体" w:cs="宋体"/>
                <w:sz w:val="21"/>
                <w:szCs w:val="21"/>
              </w:rPr>
              <w:t>保证金</w:t>
            </w:r>
          </w:p>
        </w:tc>
        <w:tc>
          <w:tcPr>
            <w:tcW w:w="6405" w:type="dxa"/>
            <w:tcBorders>
              <w:tl2br w:val="nil"/>
              <w:tr2bl w:val="nil"/>
            </w:tcBorders>
            <w:vAlign w:val="center"/>
          </w:tcPr>
          <w:p w14:paraId="725B5A5B">
            <w:pPr>
              <w:topLinePunct/>
              <w:autoSpaceDE w:val="0"/>
              <w:autoSpaceDN w:val="0"/>
              <w:adjustRightInd w:val="0"/>
              <w:snapToGrid w:val="0"/>
              <w:spacing w:line="360" w:lineRule="auto"/>
              <w:rPr>
                <w:b/>
                <w:bCs/>
                <w:snapToGrid w:val="0"/>
                <w:szCs w:val="21"/>
                <w:lang w:val="zh-CN"/>
              </w:rPr>
            </w:pPr>
            <w:bookmarkStart w:id="119" w:name="OLE_LINK153"/>
            <w:r>
              <w:rPr>
                <w:b/>
                <w:bCs/>
                <w:szCs w:val="21"/>
              </w:rPr>
              <w:sym w:font="Wingdings 2" w:char="0052"/>
            </w:r>
            <w:r>
              <w:rPr>
                <w:b/>
                <w:bCs/>
                <w:szCs w:val="21"/>
              </w:rPr>
              <w:t>不要求提供</w:t>
            </w:r>
          </w:p>
          <w:p w14:paraId="68C780ED">
            <w:pPr>
              <w:pStyle w:val="9"/>
              <w:spacing w:before="0" w:beforeAutospacing="0" w:after="0" w:afterAutospacing="0" w:line="360" w:lineRule="auto"/>
              <w:rPr>
                <w:szCs w:val="21"/>
              </w:rPr>
            </w:pPr>
            <w:r>
              <w:rPr>
                <w:rFonts w:ascii="Times New Roman" w:hAnsi="Times New Roman" w:cs="Times New Roman"/>
                <w:sz w:val="21"/>
                <w:szCs w:val="21"/>
              </w:rPr>
              <w:sym w:font="Wingdings 2" w:char="00A3"/>
            </w:r>
            <w:r>
              <w:rPr>
                <w:rFonts w:ascii="Times New Roman" w:hAnsi="Times New Roman" w:cs="Times New Roman"/>
                <w:sz w:val="21"/>
                <w:szCs w:val="21"/>
              </w:rPr>
              <w:t>要求提供：</w:t>
            </w:r>
          </w:p>
          <w:p w14:paraId="305093B7">
            <w:pPr>
              <w:spacing w:line="360" w:lineRule="auto"/>
              <w:rPr>
                <w:rFonts w:ascii="宋体" w:hAnsi="宋体" w:cs="宋体"/>
                <w:szCs w:val="21"/>
              </w:rPr>
            </w:pPr>
            <w:r>
              <w:rPr>
                <w:rFonts w:hint="eastAsia" w:ascii="宋体" w:hAnsi="宋体" w:cs="宋体"/>
                <w:szCs w:val="21"/>
              </w:rPr>
              <w:t>保证金的形式：/</w:t>
            </w:r>
          </w:p>
          <w:p w14:paraId="440EC668">
            <w:pPr>
              <w:spacing w:line="360" w:lineRule="auto"/>
              <w:rPr>
                <w:rFonts w:ascii="宋体" w:hAnsi="宋体" w:cs="宋体"/>
                <w:b/>
                <w:szCs w:val="21"/>
              </w:rPr>
            </w:pPr>
            <w:r>
              <w:rPr>
                <w:rFonts w:hint="eastAsia" w:ascii="宋体" w:hAnsi="宋体" w:cs="宋体"/>
                <w:szCs w:val="21"/>
              </w:rPr>
              <w:t>保证金金额：/</w:t>
            </w:r>
          </w:p>
          <w:p w14:paraId="0FF7D530">
            <w:pPr>
              <w:spacing w:line="360" w:lineRule="auto"/>
              <w:rPr>
                <w:rFonts w:ascii="宋体" w:hAnsi="宋体" w:cs="宋体"/>
                <w:szCs w:val="21"/>
              </w:rPr>
            </w:pPr>
            <w:r>
              <w:rPr>
                <w:rFonts w:hint="eastAsia" w:ascii="宋体" w:hAnsi="宋体" w:cs="宋体"/>
                <w:szCs w:val="21"/>
              </w:rPr>
              <w:t>保证金按规定数额从供应商基本账户缴纳至：/</w:t>
            </w:r>
          </w:p>
          <w:p w14:paraId="744D9AF8">
            <w:pPr>
              <w:spacing w:line="360" w:lineRule="auto"/>
              <w:rPr>
                <w:rFonts w:ascii="宋体" w:hAnsi="宋体" w:cs="宋体"/>
                <w:szCs w:val="21"/>
              </w:rPr>
            </w:pPr>
            <w:r>
              <w:rPr>
                <w:rFonts w:hint="eastAsia" w:ascii="宋体" w:hAnsi="宋体" w:cs="宋体"/>
                <w:szCs w:val="21"/>
              </w:rPr>
              <w:t>保证金缴纳说明：</w:t>
            </w:r>
          </w:p>
          <w:p w14:paraId="558F75D0">
            <w:pPr>
              <w:spacing w:line="360" w:lineRule="auto"/>
              <w:rPr>
                <w:rFonts w:ascii="宋体" w:hAnsi="宋体" w:cs="宋体"/>
                <w:szCs w:val="21"/>
              </w:rPr>
            </w:pPr>
            <w:r>
              <w:rPr>
                <w:rFonts w:hint="eastAsia" w:ascii="宋体" w:hAnsi="宋体" w:cs="宋体"/>
                <w:szCs w:val="21"/>
              </w:rPr>
              <w:t>1.网银或电汇或电子保函方式提交的，缴款回单或电子凭证即为缴纳凭证；其他方式提交保证金的</w:t>
            </w:r>
            <w:r>
              <w:rPr>
                <w:rFonts w:hint="eastAsia" w:hAnsi="宋体" w:cs="宋体"/>
                <w:szCs w:val="21"/>
              </w:rPr>
              <w:t>供应商</w:t>
            </w:r>
            <w:r>
              <w:rPr>
                <w:rFonts w:hint="eastAsia" w:ascii="宋体" w:hAnsi="宋体" w:cs="宋体"/>
                <w:szCs w:val="21"/>
              </w:rPr>
              <w:t xml:space="preserve">应持有效凭证（纸质原件）至云南中咨海外咨询有限公司财务室换取保证金收据。联系人：赵咏春 联系方式：0871-63104709     </w:t>
            </w:r>
          </w:p>
          <w:p w14:paraId="0EB7BFED">
            <w:pPr>
              <w:spacing w:line="360" w:lineRule="auto"/>
              <w:jc w:val="left"/>
              <w:rPr>
                <w:rFonts w:ascii="宋体" w:hAnsi="宋体" w:cs="宋体"/>
                <w:szCs w:val="21"/>
              </w:rPr>
            </w:pPr>
            <w:r>
              <w:rPr>
                <w:rFonts w:hint="eastAsia" w:ascii="宋体" w:hAnsi="宋体" w:cs="宋体"/>
                <w:szCs w:val="21"/>
              </w:rPr>
              <w:t>2.</w:t>
            </w:r>
            <w:r>
              <w:rPr>
                <w:rFonts w:hint="eastAsia" w:hAnsi="宋体" w:cs="宋体"/>
                <w:szCs w:val="21"/>
              </w:rPr>
              <w:t>供应商</w:t>
            </w:r>
            <w:r>
              <w:rPr>
                <w:rFonts w:hint="eastAsia" w:ascii="宋体" w:hAnsi="宋体" w:cs="宋体"/>
                <w:szCs w:val="21"/>
              </w:rPr>
              <w:t>未按照</w:t>
            </w:r>
            <w:r>
              <w:rPr>
                <w:rFonts w:hint="eastAsia" w:hAnsi="宋体" w:cs="宋体"/>
                <w:szCs w:val="21"/>
              </w:rPr>
              <w:t>单一来源采购文件</w:t>
            </w:r>
            <w:r>
              <w:rPr>
                <w:rFonts w:hint="eastAsia" w:ascii="宋体" w:hAnsi="宋体" w:cs="宋体"/>
                <w:szCs w:val="21"/>
              </w:rPr>
              <w:t>要求提交保证金的，其</w:t>
            </w:r>
            <w:r>
              <w:rPr>
                <w:rFonts w:hint="eastAsia" w:hAnsi="宋体" w:cs="宋体"/>
                <w:szCs w:val="21"/>
              </w:rPr>
              <w:t>响应无效</w:t>
            </w:r>
            <w:r>
              <w:rPr>
                <w:rFonts w:hint="eastAsia" w:ascii="宋体" w:hAnsi="宋体" w:cs="宋体"/>
                <w:szCs w:val="21"/>
              </w:rPr>
              <w:t>。</w:t>
            </w:r>
            <w:bookmarkEnd w:id="119"/>
          </w:p>
        </w:tc>
      </w:tr>
      <w:tr w14:paraId="140B1F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44331D04">
            <w:pPr>
              <w:pStyle w:val="18"/>
              <w:spacing w:line="360" w:lineRule="auto"/>
              <w:jc w:val="center"/>
              <w:rPr>
                <w:rFonts w:hAnsi="宋体" w:cs="宋体"/>
                <w:sz w:val="21"/>
                <w:szCs w:val="21"/>
              </w:rPr>
            </w:pPr>
            <w:r>
              <w:rPr>
                <w:rFonts w:hint="eastAsia" w:hAnsi="宋体" w:cs="宋体"/>
                <w:sz w:val="21"/>
                <w:szCs w:val="21"/>
              </w:rPr>
              <w:t>19.4</w:t>
            </w:r>
          </w:p>
        </w:tc>
        <w:tc>
          <w:tcPr>
            <w:tcW w:w="2457" w:type="dxa"/>
            <w:tcBorders>
              <w:tl2br w:val="nil"/>
              <w:tr2bl w:val="nil"/>
            </w:tcBorders>
            <w:vAlign w:val="center"/>
          </w:tcPr>
          <w:p w14:paraId="0F20BE91">
            <w:pPr>
              <w:spacing w:line="360" w:lineRule="auto"/>
              <w:jc w:val="center"/>
              <w:rPr>
                <w:bCs/>
                <w:snapToGrid w:val="0"/>
                <w:kern w:val="21"/>
                <w:szCs w:val="21"/>
              </w:rPr>
            </w:pPr>
            <w:bookmarkStart w:id="120" w:name="OLE_LINK50" w:colFirst="1" w:colLast="2"/>
            <w:r>
              <w:rPr>
                <w:rFonts w:hint="eastAsia"/>
                <w:bCs/>
                <w:szCs w:val="21"/>
              </w:rPr>
              <w:t>响应文件盖章及签署</w:t>
            </w:r>
          </w:p>
        </w:tc>
        <w:tc>
          <w:tcPr>
            <w:tcW w:w="6405" w:type="dxa"/>
            <w:tcBorders>
              <w:tl2br w:val="nil"/>
              <w:tr2bl w:val="nil"/>
            </w:tcBorders>
            <w:vAlign w:val="center"/>
          </w:tcPr>
          <w:p w14:paraId="1DF33C69">
            <w:pPr>
              <w:spacing w:line="360" w:lineRule="auto"/>
              <w:rPr>
                <w:rFonts w:ascii="宋体" w:hAnsi="宋体" w:cs="宋体"/>
                <w:snapToGrid w:val="0"/>
                <w:kern w:val="21"/>
                <w:szCs w:val="21"/>
              </w:rPr>
            </w:pPr>
            <w:r>
              <w:rPr>
                <w:rFonts w:hint="eastAsia" w:ascii="宋体" w:hAnsi="宋体" w:cs="宋体"/>
                <w:szCs w:val="21"/>
              </w:rPr>
              <w:t>响应文件应按本单一来源采购文件中响应文件格式规定的</w:t>
            </w:r>
            <w:r>
              <w:rPr>
                <w:rFonts w:hint="eastAsia" w:ascii="宋体" w:hAnsi="宋体" w:cs="宋体"/>
                <w:b/>
                <w:bCs/>
                <w:szCs w:val="21"/>
              </w:rPr>
              <w:t>签名或签章处逐一电子签名或电子签章，要求盖章处盖供应商电子签章</w:t>
            </w:r>
            <w:r>
              <w:rPr>
                <w:rFonts w:hint="eastAsia" w:ascii="宋体" w:hAnsi="宋体" w:cs="宋体"/>
              </w:rPr>
              <w:t>。要求第三方出具的盖章件原件（如联合体协议、分包意向协议、制造商授权书等），响应文件中应使用原件的扫描件或照片等电子件。</w:t>
            </w:r>
          </w:p>
        </w:tc>
      </w:tr>
      <w:tr w14:paraId="1C6EF4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31" w:type="dxa"/>
            <w:tcBorders>
              <w:tl2br w:val="nil"/>
              <w:tr2bl w:val="nil"/>
            </w:tcBorders>
            <w:vAlign w:val="center"/>
          </w:tcPr>
          <w:p w14:paraId="064E188F">
            <w:pPr>
              <w:pStyle w:val="18"/>
              <w:spacing w:line="360" w:lineRule="auto"/>
              <w:jc w:val="center"/>
              <w:rPr>
                <w:rFonts w:hAnsi="宋体" w:cs="宋体"/>
                <w:sz w:val="21"/>
                <w:szCs w:val="21"/>
              </w:rPr>
            </w:pPr>
            <w:r>
              <w:rPr>
                <w:rFonts w:hint="eastAsia" w:hAnsi="宋体" w:cs="宋体"/>
                <w:sz w:val="21"/>
                <w:szCs w:val="21"/>
              </w:rPr>
              <w:t>20.1</w:t>
            </w:r>
          </w:p>
        </w:tc>
        <w:tc>
          <w:tcPr>
            <w:tcW w:w="2457" w:type="dxa"/>
            <w:tcBorders>
              <w:tl2br w:val="nil"/>
              <w:tr2bl w:val="nil"/>
            </w:tcBorders>
            <w:vAlign w:val="center"/>
          </w:tcPr>
          <w:p w14:paraId="6C712D25">
            <w:pPr>
              <w:spacing w:line="360" w:lineRule="auto"/>
              <w:jc w:val="center"/>
              <w:rPr>
                <w:szCs w:val="21"/>
              </w:rPr>
            </w:pPr>
            <w:r>
              <w:rPr>
                <w:rFonts w:hint="eastAsia"/>
                <w:szCs w:val="21"/>
              </w:rPr>
              <w:t>响应报价</w:t>
            </w:r>
          </w:p>
        </w:tc>
        <w:tc>
          <w:tcPr>
            <w:tcW w:w="6405" w:type="dxa"/>
            <w:tcBorders>
              <w:tl2br w:val="nil"/>
              <w:tr2bl w:val="nil"/>
            </w:tcBorders>
            <w:vAlign w:val="center"/>
          </w:tcPr>
          <w:p w14:paraId="2A3AE20E">
            <w:pPr>
              <w:spacing w:line="360" w:lineRule="auto"/>
              <w:jc w:val="left"/>
              <w:rPr>
                <w:szCs w:val="21"/>
              </w:rPr>
            </w:pPr>
            <w:r>
              <w:rPr>
                <w:rFonts w:hint="eastAsia"/>
                <w:szCs w:val="21"/>
              </w:rPr>
              <w:t>（1）供应商必须对本次采购范围内所有内容作出完整唯一的报价，不得缺项、漏项，否则响应文件将按无效响应处理。</w:t>
            </w:r>
          </w:p>
          <w:p w14:paraId="3F648D23">
            <w:pPr>
              <w:spacing w:line="360" w:lineRule="auto"/>
              <w:jc w:val="left"/>
              <w:rPr>
                <w:szCs w:val="21"/>
              </w:rPr>
            </w:pPr>
            <w:r>
              <w:rPr>
                <w:rFonts w:hint="eastAsia"/>
                <w:szCs w:val="21"/>
              </w:rPr>
              <w:t>（2）供应商的报价应包括但不限于：全过程费用、人工费、运维服务费、差旅费、培训费、管理费、利润、税金、采购代理服务费及其他一切费用。</w:t>
            </w:r>
          </w:p>
          <w:p w14:paraId="1B73FAA8">
            <w:pPr>
              <w:spacing w:line="360" w:lineRule="auto"/>
              <w:jc w:val="left"/>
              <w:rPr>
                <w:szCs w:val="21"/>
              </w:rPr>
            </w:pPr>
            <w:r>
              <w:rPr>
                <w:rFonts w:hint="eastAsia"/>
                <w:szCs w:val="21"/>
              </w:rPr>
              <w:t>（3）该报价应符合市场行情并能保证供应商完成履行合同所需的一切工作。</w:t>
            </w:r>
          </w:p>
          <w:bookmarkEnd w:id="120"/>
        </w:tc>
      </w:tr>
      <w:tr w14:paraId="26B05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31" w:type="dxa"/>
            <w:tcBorders>
              <w:tl2br w:val="nil"/>
              <w:tr2bl w:val="nil"/>
            </w:tcBorders>
            <w:vAlign w:val="center"/>
          </w:tcPr>
          <w:p w14:paraId="6D51A592">
            <w:pPr>
              <w:pStyle w:val="18"/>
              <w:spacing w:line="360" w:lineRule="auto"/>
              <w:jc w:val="center"/>
              <w:rPr>
                <w:rFonts w:hAnsi="宋体" w:cs="宋体"/>
                <w:sz w:val="21"/>
                <w:szCs w:val="21"/>
              </w:rPr>
            </w:pPr>
            <w:r>
              <w:rPr>
                <w:rFonts w:hint="eastAsia" w:hAnsi="宋体" w:cs="宋体"/>
                <w:sz w:val="21"/>
                <w:szCs w:val="21"/>
              </w:rPr>
              <w:t>21.1</w:t>
            </w:r>
          </w:p>
        </w:tc>
        <w:tc>
          <w:tcPr>
            <w:tcW w:w="2457" w:type="dxa"/>
            <w:tcBorders>
              <w:tl2br w:val="nil"/>
              <w:tr2bl w:val="nil"/>
            </w:tcBorders>
            <w:vAlign w:val="center"/>
          </w:tcPr>
          <w:p w14:paraId="7DD39332">
            <w:pPr>
              <w:spacing w:line="360" w:lineRule="auto"/>
              <w:jc w:val="center"/>
              <w:rPr>
                <w:rFonts w:ascii="宋体" w:hAnsi="宋体" w:cs="宋体"/>
                <w:szCs w:val="21"/>
              </w:rPr>
            </w:pPr>
            <w:bookmarkStart w:id="121" w:name="OLE_LINK51" w:colFirst="1" w:colLast="2"/>
            <w:r>
              <w:rPr>
                <w:rFonts w:hint="eastAsia" w:ascii="宋体" w:hAnsi="宋体" w:cs="宋体"/>
                <w:szCs w:val="21"/>
              </w:rPr>
              <w:t>响应文件的</w:t>
            </w:r>
            <w:r>
              <w:rPr>
                <w:rFonts w:hint="eastAsia" w:hAnsi="宋体" w:cs="宋体"/>
                <w:szCs w:val="21"/>
              </w:rPr>
              <w:t>加密</w:t>
            </w:r>
          </w:p>
        </w:tc>
        <w:tc>
          <w:tcPr>
            <w:tcW w:w="6405" w:type="dxa"/>
            <w:tcBorders>
              <w:tl2br w:val="nil"/>
              <w:tr2bl w:val="nil"/>
            </w:tcBorders>
            <w:vAlign w:val="center"/>
          </w:tcPr>
          <w:p w14:paraId="2894B117">
            <w:pPr>
              <w:spacing w:line="360" w:lineRule="auto"/>
              <w:rPr>
                <w:rFonts w:ascii="宋体" w:hAnsi="宋体" w:cs="宋体"/>
                <w:szCs w:val="21"/>
              </w:rPr>
            </w:pPr>
            <w:r>
              <w:rPr>
                <w:rFonts w:hint="eastAsia" w:hAnsi="宋体" w:cs="宋体"/>
              </w:rPr>
              <w:t>供应商应按照</w:t>
            </w:r>
            <w:r>
              <w:rPr>
                <w:rFonts w:hint="eastAsia"/>
                <w:szCs w:val="21"/>
              </w:rPr>
              <w:t>政府采购云平台</w:t>
            </w:r>
            <w:r>
              <w:rPr>
                <w:rFonts w:hint="eastAsia" w:hAnsi="宋体" w:cs="宋体"/>
              </w:rPr>
              <w:t>的要求编制、加密响应文件。</w:t>
            </w:r>
          </w:p>
          <w:bookmarkEnd w:id="121"/>
        </w:tc>
      </w:tr>
      <w:tr w14:paraId="0168F4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31" w:type="dxa"/>
            <w:tcBorders>
              <w:tl2br w:val="nil"/>
              <w:tr2bl w:val="nil"/>
            </w:tcBorders>
            <w:vAlign w:val="center"/>
          </w:tcPr>
          <w:p w14:paraId="40EA36A1">
            <w:pPr>
              <w:pStyle w:val="18"/>
              <w:spacing w:line="360" w:lineRule="auto"/>
              <w:jc w:val="center"/>
              <w:rPr>
                <w:rFonts w:hAnsi="宋体" w:cs="宋体"/>
                <w:sz w:val="21"/>
                <w:szCs w:val="21"/>
              </w:rPr>
            </w:pPr>
            <w:r>
              <w:rPr>
                <w:rFonts w:hint="eastAsia" w:hAnsi="宋体" w:cs="宋体"/>
                <w:sz w:val="21"/>
                <w:szCs w:val="21"/>
              </w:rPr>
              <w:t>22.1</w:t>
            </w:r>
          </w:p>
        </w:tc>
        <w:tc>
          <w:tcPr>
            <w:tcW w:w="2457" w:type="dxa"/>
            <w:tcBorders>
              <w:tl2br w:val="nil"/>
              <w:tr2bl w:val="nil"/>
            </w:tcBorders>
            <w:vAlign w:val="center"/>
          </w:tcPr>
          <w:p w14:paraId="048425DE">
            <w:pPr>
              <w:pStyle w:val="9"/>
              <w:spacing w:before="0" w:beforeAutospacing="0" w:after="0" w:afterAutospacing="0" w:line="360" w:lineRule="auto"/>
              <w:ind w:left="119" w:leftChars="57"/>
              <w:jc w:val="center"/>
              <w:rPr>
                <w:sz w:val="21"/>
                <w:szCs w:val="21"/>
              </w:rPr>
            </w:pPr>
            <w:bookmarkStart w:id="122" w:name="OLE_LINK52" w:colFirst="1" w:colLast="2"/>
            <w:r>
              <w:rPr>
                <w:rFonts w:hint="eastAsia"/>
                <w:sz w:val="21"/>
                <w:szCs w:val="21"/>
              </w:rPr>
              <w:t>响应文件提交截止时间及地点</w:t>
            </w:r>
          </w:p>
        </w:tc>
        <w:tc>
          <w:tcPr>
            <w:tcW w:w="6405" w:type="dxa"/>
            <w:tcBorders>
              <w:tl2br w:val="nil"/>
              <w:tr2bl w:val="nil"/>
            </w:tcBorders>
            <w:vAlign w:val="center"/>
          </w:tcPr>
          <w:p w14:paraId="36E25163">
            <w:pPr>
              <w:pStyle w:val="9"/>
              <w:spacing w:before="0" w:beforeAutospacing="0" w:after="0" w:afterAutospacing="0" w:line="360" w:lineRule="auto"/>
              <w:jc w:val="both"/>
              <w:rPr>
                <w:sz w:val="21"/>
                <w:szCs w:val="21"/>
              </w:rPr>
            </w:pPr>
            <w:r>
              <w:rPr>
                <w:rFonts w:hint="eastAsia"/>
                <w:sz w:val="21"/>
                <w:szCs w:val="21"/>
              </w:rPr>
              <w:t>详见单一来源采购文件第一章《单一来源采购邀请书》</w:t>
            </w:r>
          </w:p>
          <w:bookmarkEnd w:id="122"/>
        </w:tc>
      </w:tr>
      <w:tr w14:paraId="36F09F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52" w:hRule="atLeast"/>
          <w:jc w:val="center"/>
        </w:trPr>
        <w:tc>
          <w:tcPr>
            <w:tcW w:w="731" w:type="dxa"/>
            <w:tcBorders>
              <w:tl2br w:val="nil"/>
              <w:tr2bl w:val="nil"/>
            </w:tcBorders>
            <w:vAlign w:val="center"/>
          </w:tcPr>
          <w:p w14:paraId="63BA6306">
            <w:pPr>
              <w:pStyle w:val="18"/>
              <w:spacing w:line="360" w:lineRule="auto"/>
              <w:jc w:val="center"/>
              <w:rPr>
                <w:rFonts w:hAnsi="宋体" w:cs="宋体"/>
                <w:sz w:val="21"/>
                <w:szCs w:val="21"/>
              </w:rPr>
            </w:pPr>
            <w:r>
              <w:rPr>
                <w:rFonts w:hint="eastAsia" w:hAnsi="宋体" w:cs="宋体"/>
                <w:sz w:val="21"/>
                <w:szCs w:val="21"/>
              </w:rPr>
              <w:t>26.2</w:t>
            </w:r>
          </w:p>
        </w:tc>
        <w:tc>
          <w:tcPr>
            <w:tcW w:w="2457" w:type="dxa"/>
            <w:tcBorders>
              <w:tl2br w:val="nil"/>
              <w:tr2bl w:val="nil"/>
            </w:tcBorders>
            <w:vAlign w:val="center"/>
          </w:tcPr>
          <w:p w14:paraId="13E3219C">
            <w:pPr>
              <w:pStyle w:val="18"/>
              <w:spacing w:line="360" w:lineRule="auto"/>
              <w:jc w:val="center"/>
              <w:rPr>
                <w:rFonts w:hAnsi="宋体" w:cs="宋体"/>
                <w:sz w:val="21"/>
                <w:szCs w:val="21"/>
              </w:rPr>
            </w:pPr>
            <w:r>
              <w:rPr>
                <w:rFonts w:hint="eastAsia" w:hAnsi="宋体" w:cs="宋体"/>
                <w:sz w:val="21"/>
                <w:szCs w:val="21"/>
              </w:rPr>
              <w:t>单一来源采购人员</w:t>
            </w:r>
          </w:p>
        </w:tc>
        <w:tc>
          <w:tcPr>
            <w:tcW w:w="6405" w:type="dxa"/>
            <w:tcBorders>
              <w:tl2br w:val="nil"/>
              <w:tr2bl w:val="nil"/>
            </w:tcBorders>
            <w:vAlign w:val="center"/>
          </w:tcPr>
          <w:p w14:paraId="3CD96A97">
            <w:pPr>
              <w:pStyle w:val="18"/>
              <w:spacing w:line="360" w:lineRule="auto"/>
              <w:rPr>
                <w:rFonts w:hAnsi="宋体" w:cs="宋体"/>
                <w:sz w:val="21"/>
                <w:szCs w:val="21"/>
              </w:rPr>
            </w:pPr>
            <w:r>
              <w:rPr>
                <w:rFonts w:hint="eastAsia" w:hAnsi="宋体" w:cs="宋体"/>
                <w:sz w:val="21"/>
                <w:szCs w:val="21"/>
              </w:rPr>
              <w:t>单一来源采购人员由采购人的代表和有关技术、经济等方面的专家组成，单一来源采购人员人数应当为3人以上单数。其中，技术、经济等方面的专家不得少于单一来源采购人员总数的三分之二。单一来源采购人员应当推选组长，但采购人代表不得担任组长。</w:t>
            </w:r>
          </w:p>
        </w:tc>
      </w:tr>
      <w:tr w14:paraId="75ED7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31" w:type="dxa"/>
            <w:tcBorders>
              <w:tl2br w:val="nil"/>
              <w:tr2bl w:val="nil"/>
            </w:tcBorders>
            <w:vAlign w:val="center"/>
          </w:tcPr>
          <w:p w14:paraId="698EC1C3">
            <w:pPr>
              <w:pStyle w:val="18"/>
              <w:spacing w:line="360" w:lineRule="auto"/>
              <w:jc w:val="center"/>
              <w:rPr>
                <w:rFonts w:hAnsi="宋体" w:cs="宋体"/>
                <w:sz w:val="21"/>
                <w:szCs w:val="21"/>
              </w:rPr>
            </w:pPr>
            <w:r>
              <w:rPr>
                <w:rFonts w:hint="eastAsia" w:hAnsi="宋体" w:cs="宋体"/>
                <w:sz w:val="21"/>
                <w:szCs w:val="21"/>
              </w:rPr>
              <w:t>32.3</w:t>
            </w:r>
          </w:p>
        </w:tc>
        <w:tc>
          <w:tcPr>
            <w:tcW w:w="2457" w:type="dxa"/>
            <w:tcBorders>
              <w:tl2br w:val="nil"/>
              <w:tr2bl w:val="nil"/>
            </w:tcBorders>
            <w:vAlign w:val="center"/>
          </w:tcPr>
          <w:p w14:paraId="64738CF4">
            <w:pPr>
              <w:spacing w:line="360" w:lineRule="auto"/>
              <w:jc w:val="center"/>
              <w:rPr>
                <w:snapToGrid w:val="0"/>
                <w:kern w:val="21"/>
                <w:szCs w:val="21"/>
              </w:rPr>
            </w:pPr>
            <w:r>
              <w:rPr>
                <w:rFonts w:hint="eastAsia"/>
                <w:szCs w:val="21"/>
              </w:rPr>
              <w:t>分包</w:t>
            </w:r>
          </w:p>
        </w:tc>
        <w:tc>
          <w:tcPr>
            <w:tcW w:w="6405" w:type="dxa"/>
            <w:tcBorders>
              <w:tl2br w:val="nil"/>
              <w:tr2bl w:val="nil"/>
            </w:tcBorders>
            <w:vAlign w:val="center"/>
          </w:tcPr>
          <w:p w14:paraId="3594D98C">
            <w:pPr>
              <w:spacing w:line="360" w:lineRule="auto"/>
              <w:rPr>
                <w:szCs w:val="21"/>
              </w:rPr>
            </w:pPr>
            <w:r>
              <w:rPr>
                <w:rFonts w:hint="eastAsia"/>
                <w:szCs w:val="21"/>
              </w:rPr>
              <w:t>本项目的非主体、非关键性工作是否允许分包：</w:t>
            </w:r>
          </w:p>
          <w:p w14:paraId="7A13C169">
            <w:pPr>
              <w:spacing w:line="360" w:lineRule="auto"/>
              <w:rPr>
                <w:szCs w:val="21"/>
              </w:rPr>
            </w:pPr>
            <w:r>
              <w:rPr>
                <w:szCs w:val="21"/>
              </w:rPr>
              <w:sym w:font="Wingdings 2" w:char="0052"/>
            </w:r>
            <w:r>
              <w:rPr>
                <w:rFonts w:hint="eastAsia"/>
                <w:szCs w:val="21"/>
              </w:rPr>
              <w:t xml:space="preserve">不允许 </w:t>
            </w:r>
          </w:p>
          <w:p w14:paraId="1CB3C999">
            <w:pPr>
              <w:spacing w:line="360" w:lineRule="auto"/>
              <w:rPr>
                <w:szCs w:val="21"/>
              </w:rPr>
            </w:pPr>
            <w:r>
              <w:rPr>
                <w:szCs w:val="21"/>
              </w:rPr>
              <w:sym w:font="Wingdings 2" w:char="00A3"/>
            </w:r>
            <w:r>
              <w:rPr>
                <w:rFonts w:hint="eastAsia"/>
                <w:szCs w:val="21"/>
              </w:rPr>
              <w:t>允许，具体要求：</w:t>
            </w:r>
          </w:p>
          <w:p w14:paraId="211327EB">
            <w:pPr>
              <w:spacing w:line="360" w:lineRule="auto"/>
              <w:rPr>
                <w:szCs w:val="21"/>
              </w:rPr>
            </w:pPr>
            <w:r>
              <w:rPr>
                <w:rFonts w:hint="eastAsia"/>
                <w:szCs w:val="21"/>
              </w:rPr>
              <w:t>（</w:t>
            </w:r>
            <w:r>
              <w:rPr>
                <w:szCs w:val="21"/>
              </w:rPr>
              <w:t>1</w:t>
            </w:r>
            <w:r>
              <w:rPr>
                <w:rFonts w:hint="eastAsia"/>
                <w:szCs w:val="21"/>
              </w:rPr>
              <w:t>）可以分包履行的具体内容：；</w:t>
            </w:r>
          </w:p>
          <w:p w14:paraId="5729C225">
            <w:pPr>
              <w:spacing w:line="360" w:lineRule="auto"/>
              <w:rPr>
                <w:szCs w:val="21"/>
              </w:rPr>
            </w:pPr>
            <w:r>
              <w:rPr>
                <w:rFonts w:hint="eastAsia"/>
                <w:szCs w:val="21"/>
              </w:rPr>
              <w:t>（</w:t>
            </w:r>
            <w:r>
              <w:rPr>
                <w:szCs w:val="21"/>
              </w:rPr>
              <w:t>2</w:t>
            </w:r>
            <w:r>
              <w:rPr>
                <w:rFonts w:hint="eastAsia"/>
                <w:szCs w:val="21"/>
              </w:rPr>
              <w:t>）允许分包的金额或者比例：；</w:t>
            </w:r>
          </w:p>
          <w:p w14:paraId="2BD56283">
            <w:pPr>
              <w:spacing w:line="360" w:lineRule="auto"/>
              <w:rPr>
                <w:snapToGrid w:val="0"/>
                <w:kern w:val="21"/>
                <w:szCs w:val="21"/>
              </w:rPr>
            </w:pPr>
            <w:r>
              <w:rPr>
                <w:rFonts w:hint="eastAsia"/>
                <w:szCs w:val="21"/>
              </w:rPr>
              <w:t>（</w:t>
            </w:r>
            <w:r>
              <w:rPr>
                <w:szCs w:val="21"/>
              </w:rPr>
              <w:t>3</w:t>
            </w:r>
            <w:r>
              <w:rPr>
                <w:rFonts w:hint="eastAsia"/>
                <w:szCs w:val="21"/>
              </w:rPr>
              <w:t>）其他要求：。</w:t>
            </w:r>
          </w:p>
        </w:tc>
      </w:tr>
      <w:tr w14:paraId="043F2D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31" w:type="dxa"/>
            <w:tcBorders>
              <w:tl2br w:val="nil"/>
              <w:tr2bl w:val="nil"/>
            </w:tcBorders>
            <w:vAlign w:val="center"/>
          </w:tcPr>
          <w:p w14:paraId="7A1CB882">
            <w:pPr>
              <w:pStyle w:val="18"/>
              <w:spacing w:line="360" w:lineRule="auto"/>
              <w:jc w:val="center"/>
              <w:rPr>
                <w:rFonts w:hAnsi="宋体" w:cs="宋体"/>
                <w:sz w:val="21"/>
                <w:szCs w:val="21"/>
              </w:rPr>
            </w:pPr>
            <w:r>
              <w:rPr>
                <w:rFonts w:hint="eastAsia" w:hAnsi="宋体" w:cs="宋体"/>
                <w:sz w:val="21"/>
                <w:szCs w:val="21"/>
              </w:rPr>
              <w:t>33.1</w:t>
            </w:r>
          </w:p>
        </w:tc>
        <w:tc>
          <w:tcPr>
            <w:tcW w:w="2457" w:type="dxa"/>
            <w:tcBorders>
              <w:tl2br w:val="nil"/>
              <w:tr2bl w:val="nil"/>
            </w:tcBorders>
            <w:vAlign w:val="center"/>
          </w:tcPr>
          <w:p w14:paraId="1B87241D">
            <w:pPr>
              <w:pStyle w:val="18"/>
              <w:spacing w:line="360" w:lineRule="auto"/>
              <w:jc w:val="center"/>
              <w:rPr>
                <w:rFonts w:hAnsi="宋体" w:cs="宋体"/>
                <w:sz w:val="21"/>
                <w:szCs w:val="21"/>
              </w:rPr>
            </w:pPr>
            <w:r>
              <w:rPr>
                <w:rFonts w:hint="eastAsia" w:hAnsi="宋体" w:cs="宋体"/>
                <w:sz w:val="21"/>
                <w:szCs w:val="21"/>
              </w:rPr>
              <w:t>履约保证金金额</w:t>
            </w:r>
          </w:p>
        </w:tc>
        <w:tc>
          <w:tcPr>
            <w:tcW w:w="6405" w:type="dxa"/>
            <w:tcBorders>
              <w:tl2br w:val="nil"/>
              <w:tr2bl w:val="nil"/>
            </w:tcBorders>
            <w:vAlign w:val="center"/>
          </w:tcPr>
          <w:p w14:paraId="6CCB6951">
            <w:pPr>
              <w:spacing w:line="360" w:lineRule="auto"/>
              <w:jc w:val="left"/>
              <w:rPr>
                <w:rFonts w:ascii="宋体" w:hAnsi="宋体" w:cs="宋体"/>
                <w:szCs w:val="21"/>
              </w:rPr>
            </w:pPr>
            <w:r>
              <w:rPr>
                <w:rFonts w:hint="eastAsia" w:ascii="宋体" w:hAnsi="宋体" w:cs="宋体"/>
                <w:szCs w:val="21"/>
              </w:rPr>
              <w:t>本项目不收取履约保证金。</w:t>
            </w:r>
          </w:p>
        </w:tc>
      </w:tr>
      <w:tr w14:paraId="6B8E9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31" w:type="dxa"/>
            <w:tcBorders>
              <w:tl2br w:val="nil"/>
              <w:tr2bl w:val="nil"/>
            </w:tcBorders>
            <w:vAlign w:val="center"/>
          </w:tcPr>
          <w:p w14:paraId="23FD0B37">
            <w:pPr>
              <w:pStyle w:val="18"/>
              <w:spacing w:line="360" w:lineRule="auto"/>
              <w:jc w:val="center"/>
              <w:rPr>
                <w:rFonts w:hAnsi="宋体" w:cs="宋体"/>
                <w:sz w:val="21"/>
                <w:szCs w:val="21"/>
              </w:rPr>
            </w:pPr>
            <w:r>
              <w:rPr>
                <w:rFonts w:hint="eastAsia" w:hAnsi="宋体" w:cs="宋体"/>
                <w:sz w:val="21"/>
                <w:szCs w:val="21"/>
              </w:rPr>
              <w:t>36.1</w:t>
            </w:r>
          </w:p>
        </w:tc>
        <w:tc>
          <w:tcPr>
            <w:tcW w:w="2457" w:type="dxa"/>
            <w:tcBorders>
              <w:tl2br w:val="nil"/>
              <w:tr2bl w:val="nil"/>
            </w:tcBorders>
            <w:vAlign w:val="center"/>
          </w:tcPr>
          <w:p w14:paraId="58965484">
            <w:pPr>
              <w:spacing w:line="360" w:lineRule="auto"/>
              <w:jc w:val="center"/>
              <w:rPr>
                <w:rFonts w:ascii="宋体" w:hAnsi="宋体" w:cs="宋体"/>
                <w:bCs/>
                <w:szCs w:val="21"/>
              </w:rPr>
            </w:pPr>
            <w:r>
              <w:rPr>
                <w:rFonts w:hint="eastAsia" w:ascii="宋体" w:hAnsi="宋体" w:cs="宋体"/>
                <w:szCs w:val="21"/>
              </w:rPr>
              <w:t>采购代理服务费</w:t>
            </w:r>
          </w:p>
        </w:tc>
        <w:tc>
          <w:tcPr>
            <w:tcW w:w="6405" w:type="dxa"/>
            <w:tcBorders>
              <w:tl2br w:val="nil"/>
              <w:tr2bl w:val="nil"/>
            </w:tcBorders>
          </w:tcPr>
          <w:p w14:paraId="4E70CF78">
            <w:pPr>
              <w:wordWrap w:val="0"/>
              <w:spacing w:line="360" w:lineRule="auto"/>
              <w:jc w:val="left"/>
              <w:rPr>
                <w:rFonts w:ascii="宋体" w:hAnsi="宋体" w:cs="宋体"/>
                <w:szCs w:val="21"/>
              </w:rPr>
            </w:pPr>
            <w:r>
              <w:rPr>
                <w:rFonts w:hint="eastAsia" w:ascii="宋体" w:hAnsi="宋体" w:cs="宋体"/>
                <w:szCs w:val="21"/>
              </w:rPr>
              <w:t>参照原《招标代理服务收费管理暂行办法》（计价格〔2002〕1980号）的收费标准下浮25%向成交人收取（计算基准价为成交金额），代理费下浮后，不足2000元的按2000元计算。</w:t>
            </w:r>
          </w:p>
        </w:tc>
      </w:tr>
      <w:tr w14:paraId="704046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31" w:type="dxa"/>
            <w:tcBorders>
              <w:tl2br w:val="nil"/>
              <w:tr2bl w:val="nil"/>
            </w:tcBorders>
            <w:vAlign w:val="center"/>
          </w:tcPr>
          <w:p w14:paraId="2D7FAF98">
            <w:pPr>
              <w:pStyle w:val="18"/>
              <w:spacing w:line="360" w:lineRule="auto"/>
              <w:jc w:val="center"/>
              <w:rPr>
                <w:rFonts w:hAnsi="宋体" w:cs="宋体"/>
                <w:sz w:val="21"/>
                <w:szCs w:val="21"/>
              </w:rPr>
            </w:pPr>
            <w:r>
              <w:rPr>
                <w:rFonts w:hint="eastAsia" w:hAnsi="宋体" w:cs="宋体"/>
                <w:sz w:val="21"/>
                <w:szCs w:val="21"/>
              </w:rPr>
              <w:t>37</w:t>
            </w:r>
          </w:p>
        </w:tc>
        <w:tc>
          <w:tcPr>
            <w:tcW w:w="8862" w:type="dxa"/>
            <w:gridSpan w:val="2"/>
            <w:tcBorders>
              <w:tl2br w:val="nil"/>
              <w:tr2bl w:val="nil"/>
            </w:tcBorders>
            <w:vAlign w:val="center"/>
          </w:tcPr>
          <w:p w14:paraId="3E43D79E">
            <w:pPr>
              <w:spacing w:line="360" w:lineRule="auto"/>
              <w:jc w:val="left"/>
              <w:rPr>
                <w:szCs w:val="21"/>
              </w:rPr>
            </w:pPr>
            <w:r>
              <w:rPr>
                <w:szCs w:val="21"/>
              </w:rPr>
              <w:t>需要补充的其他内容</w:t>
            </w:r>
            <w:r>
              <w:rPr>
                <w:rFonts w:hint="eastAsia"/>
                <w:szCs w:val="21"/>
              </w:rPr>
              <w:t>：</w:t>
            </w:r>
          </w:p>
        </w:tc>
      </w:tr>
      <w:tr w14:paraId="7A0FB9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31" w:type="dxa"/>
            <w:tcBorders>
              <w:tl2br w:val="nil"/>
              <w:tr2bl w:val="nil"/>
            </w:tcBorders>
            <w:vAlign w:val="center"/>
          </w:tcPr>
          <w:p w14:paraId="668F2E6F">
            <w:pPr>
              <w:pStyle w:val="18"/>
              <w:spacing w:line="360" w:lineRule="auto"/>
              <w:jc w:val="center"/>
              <w:rPr>
                <w:rFonts w:hAnsi="宋体" w:cs="宋体"/>
                <w:sz w:val="21"/>
                <w:szCs w:val="21"/>
              </w:rPr>
            </w:pPr>
            <w:r>
              <w:rPr>
                <w:rFonts w:hint="eastAsia" w:hAnsi="宋体" w:cs="宋体"/>
                <w:sz w:val="21"/>
                <w:szCs w:val="21"/>
              </w:rPr>
              <w:t>37.1</w:t>
            </w:r>
          </w:p>
        </w:tc>
        <w:tc>
          <w:tcPr>
            <w:tcW w:w="2457" w:type="dxa"/>
            <w:tcBorders>
              <w:tl2br w:val="nil"/>
              <w:tr2bl w:val="nil"/>
            </w:tcBorders>
            <w:vAlign w:val="center"/>
          </w:tcPr>
          <w:p w14:paraId="45641C46">
            <w:pPr>
              <w:pStyle w:val="18"/>
              <w:spacing w:line="360" w:lineRule="auto"/>
              <w:jc w:val="center"/>
              <w:rPr>
                <w:rFonts w:hAnsi="宋体" w:cs="宋体"/>
                <w:sz w:val="21"/>
                <w:szCs w:val="21"/>
              </w:rPr>
            </w:pPr>
            <w:r>
              <w:rPr>
                <w:rFonts w:hint="eastAsia" w:hAnsi="宋体" w:cs="宋体"/>
                <w:sz w:val="21"/>
                <w:szCs w:val="21"/>
              </w:rPr>
              <w:t>撤回响应文件或其响应文件无效情形</w:t>
            </w:r>
          </w:p>
        </w:tc>
        <w:tc>
          <w:tcPr>
            <w:tcW w:w="6405" w:type="dxa"/>
            <w:tcBorders>
              <w:tl2br w:val="nil"/>
              <w:tr2bl w:val="nil"/>
            </w:tcBorders>
            <w:vAlign w:val="center"/>
          </w:tcPr>
          <w:p w14:paraId="449257B7">
            <w:pPr>
              <w:pStyle w:val="9"/>
              <w:spacing w:before="0" w:beforeAutospacing="0" w:after="0" w:afterAutospacing="0" w:line="360" w:lineRule="auto"/>
              <w:jc w:val="both"/>
              <w:rPr>
                <w:sz w:val="21"/>
                <w:szCs w:val="21"/>
              </w:rPr>
            </w:pPr>
            <w:r>
              <w:rPr>
                <w:rFonts w:hint="eastAsia"/>
                <w:sz w:val="21"/>
                <w:szCs w:val="21"/>
              </w:rPr>
              <w:t>以下情况视为供应商同意撤回已上传系统的响应文件或其响应文件无效：</w:t>
            </w:r>
          </w:p>
          <w:p w14:paraId="65E3095B">
            <w:pPr>
              <w:pStyle w:val="9"/>
              <w:spacing w:before="0" w:beforeAutospacing="0" w:after="0" w:afterAutospacing="0" w:line="360" w:lineRule="auto"/>
              <w:jc w:val="both"/>
              <w:rPr>
                <w:sz w:val="21"/>
                <w:szCs w:val="21"/>
              </w:rPr>
            </w:pPr>
            <w:r>
              <w:rPr>
                <w:rFonts w:hint="eastAsia"/>
                <w:sz w:val="21"/>
                <w:szCs w:val="21"/>
              </w:rPr>
              <w:t>（1）政采云电子平台显示供应商未上传响应文件；</w:t>
            </w:r>
          </w:p>
          <w:p w14:paraId="73C8DC17">
            <w:pPr>
              <w:pStyle w:val="9"/>
              <w:spacing w:before="0" w:beforeAutospacing="0" w:after="0" w:afterAutospacing="0" w:line="360" w:lineRule="auto"/>
              <w:jc w:val="both"/>
              <w:rPr>
                <w:sz w:val="21"/>
                <w:szCs w:val="21"/>
              </w:rPr>
            </w:pPr>
            <w:r>
              <w:rPr>
                <w:rFonts w:hint="eastAsia"/>
                <w:sz w:val="21"/>
                <w:szCs w:val="21"/>
              </w:rPr>
              <w:t>（2）因供应商原因上传的响应文件在开启文件时无法解密。</w:t>
            </w:r>
          </w:p>
          <w:p w14:paraId="536D6B63">
            <w:pPr>
              <w:pStyle w:val="9"/>
              <w:spacing w:before="0" w:beforeAutospacing="0" w:after="0" w:afterAutospacing="0" w:line="360" w:lineRule="auto"/>
              <w:jc w:val="both"/>
              <w:rPr>
                <w:sz w:val="21"/>
                <w:szCs w:val="21"/>
              </w:rPr>
            </w:pPr>
            <w:r>
              <w:rPr>
                <w:rFonts w:hint="eastAsia"/>
                <w:sz w:val="21"/>
                <w:szCs w:val="21"/>
              </w:rPr>
              <w:t>（3）因供应商自身原因导致未在规定时间内完成响应文件解密。</w:t>
            </w:r>
          </w:p>
        </w:tc>
      </w:tr>
      <w:tr w14:paraId="06CC62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31" w:type="dxa"/>
            <w:tcBorders>
              <w:tl2br w:val="nil"/>
              <w:tr2bl w:val="nil"/>
            </w:tcBorders>
            <w:vAlign w:val="center"/>
          </w:tcPr>
          <w:p w14:paraId="7CB0FA9F">
            <w:pPr>
              <w:pStyle w:val="18"/>
              <w:spacing w:line="360" w:lineRule="auto"/>
              <w:jc w:val="center"/>
              <w:rPr>
                <w:rFonts w:hAnsi="宋体" w:cs="宋体"/>
                <w:sz w:val="21"/>
                <w:szCs w:val="21"/>
              </w:rPr>
            </w:pPr>
            <w:r>
              <w:rPr>
                <w:rFonts w:hint="eastAsia" w:hAnsi="宋体" w:cs="宋体"/>
                <w:sz w:val="21"/>
                <w:szCs w:val="21"/>
              </w:rPr>
              <w:t>37.2</w:t>
            </w:r>
          </w:p>
        </w:tc>
        <w:tc>
          <w:tcPr>
            <w:tcW w:w="2457" w:type="dxa"/>
            <w:tcBorders>
              <w:tl2br w:val="nil"/>
              <w:tr2bl w:val="nil"/>
            </w:tcBorders>
            <w:vAlign w:val="center"/>
          </w:tcPr>
          <w:p w14:paraId="1A530A5B">
            <w:pPr>
              <w:spacing w:line="360" w:lineRule="auto"/>
              <w:jc w:val="center"/>
              <w:rPr>
                <w:rFonts w:ascii="宋体" w:hAnsi="宋体" w:cs="宋体"/>
                <w:szCs w:val="21"/>
              </w:rPr>
            </w:pPr>
            <w:r>
              <w:rPr>
                <w:szCs w:val="21"/>
              </w:rPr>
              <w:t>知识产权</w:t>
            </w:r>
          </w:p>
        </w:tc>
        <w:tc>
          <w:tcPr>
            <w:tcW w:w="6405" w:type="dxa"/>
            <w:tcBorders>
              <w:tl2br w:val="nil"/>
              <w:tr2bl w:val="nil"/>
            </w:tcBorders>
            <w:vAlign w:val="center"/>
          </w:tcPr>
          <w:p w14:paraId="2064592A">
            <w:pPr>
              <w:spacing w:line="360" w:lineRule="auto"/>
              <w:rPr>
                <w:rFonts w:ascii="宋体" w:hAnsi="宋体" w:cs="宋体"/>
                <w:szCs w:val="21"/>
              </w:rPr>
            </w:pPr>
            <w:r>
              <w:rPr>
                <w:szCs w:val="21"/>
              </w:rPr>
              <w:t>构成本</w:t>
            </w:r>
            <w:r>
              <w:rPr>
                <w:rFonts w:hint="eastAsia"/>
                <w:szCs w:val="21"/>
              </w:rPr>
              <w:t>项目单一来源采购文件</w:t>
            </w:r>
            <w:r>
              <w:rPr>
                <w:szCs w:val="21"/>
              </w:rPr>
              <w:t>各个组成部分的文件，未经采购人书面同意，</w:t>
            </w:r>
            <w:r>
              <w:rPr>
                <w:rFonts w:hint="eastAsia"/>
                <w:szCs w:val="21"/>
              </w:rPr>
              <w:t>供应商</w:t>
            </w:r>
            <w:r>
              <w:rPr>
                <w:szCs w:val="21"/>
              </w:rPr>
              <w:t>不得擅自复印和用于非本采购项目所需的其他目的。采购人全部或者部分使用未</w:t>
            </w:r>
            <w:r>
              <w:rPr>
                <w:rFonts w:hint="eastAsia"/>
                <w:szCs w:val="21"/>
              </w:rPr>
              <w:t>成交</w:t>
            </w:r>
            <w:r>
              <w:rPr>
                <w:rFonts w:hint="eastAsia" w:ascii="宋体" w:hAnsi="宋体" w:cs="宋体"/>
                <w:szCs w:val="21"/>
              </w:rPr>
              <w:t>人响应文件</w:t>
            </w:r>
            <w:r>
              <w:rPr>
                <w:szCs w:val="21"/>
              </w:rPr>
              <w:t>中的技术成果或技术方案时，需征得其书面同意，并不得擅自复印或提供给第三人。</w:t>
            </w:r>
          </w:p>
        </w:tc>
      </w:tr>
      <w:tr w14:paraId="2CF710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731" w:type="dxa"/>
            <w:tcBorders>
              <w:tl2br w:val="nil"/>
              <w:tr2bl w:val="nil"/>
            </w:tcBorders>
            <w:vAlign w:val="center"/>
          </w:tcPr>
          <w:p w14:paraId="4BA7215A">
            <w:pPr>
              <w:pStyle w:val="18"/>
              <w:spacing w:line="360" w:lineRule="auto"/>
              <w:jc w:val="center"/>
              <w:rPr>
                <w:rFonts w:hAnsi="宋体" w:cs="宋体"/>
                <w:sz w:val="21"/>
                <w:szCs w:val="21"/>
              </w:rPr>
            </w:pPr>
            <w:r>
              <w:rPr>
                <w:rFonts w:hint="eastAsia" w:hAnsi="宋体" w:cs="宋体"/>
                <w:sz w:val="21"/>
                <w:szCs w:val="21"/>
              </w:rPr>
              <w:t>37.3</w:t>
            </w:r>
          </w:p>
        </w:tc>
        <w:tc>
          <w:tcPr>
            <w:tcW w:w="2457" w:type="dxa"/>
            <w:tcBorders>
              <w:tl2br w:val="nil"/>
              <w:tr2bl w:val="nil"/>
            </w:tcBorders>
            <w:vAlign w:val="center"/>
          </w:tcPr>
          <w:p w14:paraId="3ABC47DF">
            <w:pPr>
              <w:spacing w:line="360" w:lineRule="auto"/>
              <w:jc w:val="center"/>
              <w:rPr>
                <w:rFonts w:ascii="宋体" w:hAnsi="宋体" w:cs="宋体"/>
                <w:szCs w:val="21"/>
              </w:rPr>
            </w:pPr>
            <w:r>
              <w:rPr>
                <w:szCs w:val="21"/>
              </w:rPr>
              <w:t>解释权</w:t>
            </w:r>
          </w:p>
        </w:tc>
        <w:tc>
          <w:tcPr>
            <w:tcW w:w="6405" w:type="dxa"/>
            <w:tcBorders>
              <w:tl2br w:val="nil"/>
              <w:tr2bl w:val="nil"/>
            </w:tcBorders>
            <w:vAlign w:val="center"/>
          </w:tcPr>
          <w:p w14:paraId="7EEB2B5D">
            <w:pPr>
              <w:spacing w:line="360" w:lineRule="auto"/>
              <w:rPr>
                <w:rFonts w:ascii="宋体" w:hAnsi="宋体"/>
                <w:bCs/>
                <w:szCs w:val="21"/>
              </w:rPr>
            </w:pPr>
            <w:r>
              <w:rPr>
                <w:rFonts w:hint="eastAsia" w:ascii="宋体" w:hAnsi="宋体"/>
                <w:bCs/>
                <w:szCs w:val="21"/>
              </w:rPr>
              <w:t>（1）</w:t>
            </w:r>
            <w:r>
              <w:rPr>
                <w:rFonts w:ascii="宋体" w:hAnsi="宋体"/>
                <w:bCs/>
                <w:szCs w:val="21"/>
              </w:rPr>
              <w:t>构成本</w:t>
            </w:r>
            <w:r>
              <w:rPr>
                <w:rFonts w:hint="eastAsia" w:ascii="宋体" w:hAnsi="宋体"/>
                <w:bCs/>
                <w:szCs w:val="21"/>
              </w:rPr>
              <w:t>单一来源采购文件</w:t>
            </w:r>
            <w:r>
              <w:rPr>
                <w:rFonts w:ascii="宋体" w:hAnsi="宋体"/>
                <w:bCs/>
                <w:szCs w:val="21"/>
              </w:rPr>
              <w:t>的各个组成文件应互为解释，互为说明；如有不明确或不一致，同一组成文件不同版本之间有不一致的，以形成时间在后者为准。按本款前述规定仍不能形成结论的，由采购人</w:t>
            </w:r>
            <w:r>
              <w:rPr>
                <w:rFonts w:hint="eastAsia" w:ascii="宋体" w:hAnsi="宋体"/>
                <w:bCs/>
                <w:szCs w:val="21"/>
              </w:rPr>
              <w:t>或采购代理机构</w:t>
            </w:r>
            <w:r>
              <w:rPr>
                <w:rFonts w:ascii="宋体" w:hAnsi="宋体"/>
                <w:bCs/>
                <w:szCs w:val="21"/>
              </w:rPr>
              <w:t>负责解释。</w:t>
            </w:r>
          </w:p>
          <w:p w14:paraId="56A013A9">
            <w:pPr>
              <w:spacing w:line="360" w:lineRule="auto"/>
              <w:rPr>
                <w:rFonts w:ascii="宋体" w:hAnsi="宋体"/>
                <w:bCs/>
                <w:szCs w:val="21"/>
              </w:rPr>
            </w:pPr>
            <w:r>
              <w:rPr>
                <w:rFonts w:hint="eastAsia" w:ascii="宋体" w:hAnsi="宋体"/>
                <w:bCs/>
                <w:szCs w:val="21"/>
              </w:rPr>
              <w:t>（2）单一来源采购文件</w:t>
            </w:r>
            <w:r>
              <w:rPr>
                <w:rFonts w:ascii="宋体" w:hAnsi="宋体"/>
                <w:bCs/>
                <w:szCs w:val="21"/>
              </w:rPr>
              <w:t>中引用某一</w:t>
            </w:r>
            <w:r>
              <w:rPr>
                <w:rFonts w:hint="eastAsia" w:ascii="宋体" w:hAnsi="宋体"/>
                <w:bCs/>
                <w:szCs w:val="21"/>
              </w:rPr>
              <w:t>供应商</w:t>
            </w:r>
            <w:r>
              <w:rPr>
                <w:rFonts w:ascii="宋体" w:hAnsi="宋体"/>
                <w:bCs/>
                <w:szCs w:val="21"/>
              </w:rPr>
              <w:t>的技术规格</w:t>
            </w:r>
            <w:r>
              <w:rPr>
                <w:rFonts w:hint="eastAsia" w:ascii="宋体" w:hAnsi="宋体"/>
                <w:bCs/>
                <w:szCs w:val="21"/>
              </w:rPr>
              <w:t>或要求，</w:t>
            </w:r>
            <w:r>
              <w:rPr>
                <w:rFonts w:ascii="宋体" w:hAnsi="宋体"/>
                <w:bCs/>
                <w:szCs w:val="21"/>
              </w:rPr>
              <w:t>只是为了准确或清楚地说明拟采购范围的技术规格，未含有倾向或者排斥潜在</w:t>
            </w:r>
            <w:r>
              <w:rPr>
                <w:rFonts w:hint="eastAsia" w:ascii="宋体" w:hAnsi="宋体"/>
                <w:bCs/>
                <w:szCs w:val="21"/>
              </w:rPr>
              <w:t>供应商</w:t>
            </w:r>
            <w:r>
              <w:rPr>
                <w:rFonts w:ascii="宋体" w:hAnsi="宋体"/>
                <w:bCs/>
                <w:szCs w:val="21"/>
              </w:rPr>
              <w:t>的意思，</w:t>
            </w:r>
            <w:r>
              <w:rPr>
                <w:rFonts w:hint="eastAsia" w:ascii="宋体" w:hAnsi="宋体"/>
                <w:bCs/>
                <w:szCs w:val="21"/>
              </w:rPr>
              <w:t>供应商</w:t>
            </w:r>
            <w:r>
              <w:rPr>
                <w:rFonts w:ascii="宋体" w:hAnsi="宋体"/>
                <w:bCs/>
                <w:szCs w:val="21"/>
              </w:rPr>
              <w:t>所投</w:t>
            </w:r>
            <w:r>
              <w:rPr>
                <w:rFonts w:hint="eastAsia" w:ascii="宋体" w:hAnsi="宋体"/>
                <w:bCs/>
                <w:szCs w:val="21"/>
              </w:rPr>
              <w:t>内容</w:t>
            </w:r>
            <w:r>
              <w:rPr>
                <w:rFonts w:ascii="宋体" w:hAnsi="宋体"/>
                <w:bCs/>
                <w:szCs w:val="21"/>
              </w:rPr>
              <w:t>的技术</w:t>
            </w:r>
            <w:r>
              <w:rPr>
                <w:rFonts w:hint="eastAsia" w:ascii="宋体" w:hAnsi="宋体"/>
                <w:bCs/>
                <w:szCs w:val="21"/>
              </w:rPr>
              <w:t>标准</w:t>
            </w:r>
            <w:r>
              <w:rPr>
                <w:rFonts w:ascii="宋体" w:hAnsi="宋体"/>
                <w:bCs/>
                <w:szCs w:val="21"/>
              </w:rPr>
              <w:t>可优于或相当于此采购范围的技术要求。</w:t>
            </w:r>
          </w:p>
          <w:p w14:paraId="62250FB6">
            <w:pPr>
              <w:spacing w:line="360" w:lineRule="auto"/>
              <w:rPr>
                <w:rFonts w:ascii="宋体" w:hAnsi="宋体" w:cs="宋体"/>
                <w:szCs w:val="21"/>
              </w:rPr>
            </w:pPr>
            <w:r>
              <w:rPr>
                <w:rFonts w:hint="eastAsia" w:ascii="宋体" w:hAnsi="宋体"/>
                <w:bCs/>
                <w:szCs w:val="21"/>
              </w:rPr>
              <w:t>（3）供应商</w:t>
            </w:r>
            <w:r>
              <w:rPr>
                <w:rFonts w:ascii="宋体" w:hAnsi="宋体"/>
                <w:bCs/>
                <w:szCs w:val="21"/>
              </w:rPr>
              <w:t>须知</w:t>
            </w:r>
            <w:r>
              <w:rPr>
                <w:rFonts w:hint="eastAsia" w:ascii="宋体" w:hAnsi="宋体"/>
                <w:bCs/>
                <w:szCs w:val="21"/>
              </w:rPr>
              <w:t>正文</w:t>
            </w:r>
            <w:r>
              <w:rPr>
                <w:rFonts w:ascii="宋体" w:hAnsi="宋体"/>
                <w:bCs/>
                <w:szCs w:val="21"/>
              </w:rPr>
              <w:t>内容如与本前附表不一致的，以本前附表为准。</w:t>
            </w:r>
          </w:p>
        </w:tc>
      </w:tr>
    </w:tbl>
    <w:p w14:paraId="3FC1CCC7">
      <w:pPr>
        <w:spacing w:line="360" w:lineRule="auto"/>
      </w:pPr>
      <w:bookmarkStart w:id="123" w:name="_Toc86124040"/>
      <w:r>
        <w:br w:type="page"/>
      </w:r>
    </w:p>
    <w:bookmarkEnd w:id="104"/>
    <w:p w14:paraId="4EEAFBBB">
      <w:pPr>
        <w:pStyle w:val="4"/>
        <w:spacing w:before="0" w:after="0" w:line="440" w:lineRule="exact"/>
        <w:rPr>
          <w:rFonts w:ascii="黑体" w:hAnsi="黑体" w:eastAsia="黑体" w:cs="黑体"/>
          <w:bCs w:val="0"/>
          <w:snapToGrid w:val="0"/>
          <w:kern w:val="21"/>
          <w:szCs w:val="28"/>
        </w:rPr>
      </w:pPr>
      <w:bookmarkStart w:id="124" w:name="_Toc23051"/>
      <w:bookmarkStart w:id="125" w:name="_Toc428490720"/>
      <w:bookmarkStart w:id="126" w:name="_Toc498050628"/>
      <w:bookmarkStart w:id="127" w:name="_Toc4517"/>
      <w:bookmarkStart w:id="128" w:name="_Toc462330062"/>
      <w:bookmarkStart w:id="129" w:name="_Toc490305683"/>
      <w:r>
        <w:rPr>
          <w:rFonts w:hint="eastAsia" w:ascii="黑体" w:hAnsi="黑体" w:eastAsia="黑体" w:cs="黑体"/>
          <w:bCs w:val="0"/>
          <w:snapToGrid w:val="0"/>
          <w:kern w:val="21"/>
          <w:szCs w:val="28"/>
        </w:rPr>
        <w:t>一、总则</w:t>
      </w:r>
      <w:bookmarkEnd w:id="123"/>
      <w:bookmarkEnd w:id="124"/>
      <w:bookmarkEnd w:id="125"/>
      <w:bookmarkEnd w:id="126"/>
      <w:bookmarkEnd w:id="127"/>
      <w:bookmarkEnd w:id="128"/>
      <w:bookmarkEnd w:id="129"/>
      <w:bookmarkStart w:id="130" w:name="_Toc327533961"/>
      <w:bookmarkStart w:id="131" w:name="_Toc428490721"/>
      <w:bookmarkStart w:id="132" w:name="_Toc462330063"/>
    </w:p>
    <w:p w14:paraId="02ABD0CA">
      <w:pPr>
        <w:tabs>
          <w:tab w:val="left" w:pos="3150"/>
          <w:tab w:val="center" w:pos="4734"/>
        </w:tabs>
        <w:spacing w:line="360" w:lineRule="auto"/>
        <w:ind w:firstLine="480" w:firstLineChars="200"/>
        <w:jc w:val="left"/>
        <w:outlineLvl w:val="2"/>
        <w:rPr>
          <w:rFonts w:ascii="黑体" w:hAnsi="黑体" w:eastAsia="黑体" w:cs="黑体"/>
          <w:b/>
          <w:sz w:val="24"/>
        </w:rPr>
      </w:pPr>
      <w:bookmarkStart w:id="133" w:name="_Toc25195"/>
      <w:bookmarkStart w:id="134" w:name="_Toc498050629"/>
      <w:bookmarkStart w:id="135" w:name="_Toc490305684"/>
      <w:bookmarkStart w:id="136" w:name="_Toc9091"/>
      <w:r>
        <w:rPr>
          <w:rFonts w:hint="eastAsia" w:ascii="黑体" w:hAnsi="黑体" w:eastAsia="黑体" w:cs="黑体"/>
          <w:b/>
          <w:sz w:val="24"/>
        </w:rPr>
        <w:t>1.</w:t>
      </w:r>
      <w:bookmarkStart w:id="137" w:name="OLE_LINK159"/>
      <w:r>
        <w:rPr>
          <w:rFonts w:hint="eastAsia" w:ascii="黑体" w:hAnsi="黑体" w:eastAsia="黑体" w:cs="黑体"/>
          <w:b/>
          <w:sz w:val="24"/>
        </w:rPr>
        <w:t>采购人、采购代理机构</w:t>
      </w:r>
      <w:bookmarkEnd w:id="133"/>
    </w:p>
    <w:bookmarkEnd w:id="137"/>
    <w:p w14:paraId="4A1FF89E">
      <w:pPr>
        <w:spacing w:line="360" w:lineRule="auto"/>
        <w:ind w:firstLine="420" w:firstLineChars="200"/>
        <w:jc w:val="left"/>
        <w:rPr>
          <w:rFonts w:hAnsi="宋体"/>
          <w:szCs w:val="21"/>
        </w:rPr>
      </w:pPr>
      <w:r>
        <w:rPr>
          <w:rFonts w:hint="eastAsia" w:hAnsi="宋体"/>
          <w:szCs w:val="21"/>
        </w:rPr>
        <w:t>1.1采购人：详见《供应商须知前附表》。</w:t>
      </w:r>
    </w:p>
    <w:p w14:paraId="2A440617">
      <w:pPr>
        <w:spacing w:line="360" w:lineRule="auto"/>
        <w:ind w:firstLine="420" w:firstLineChars="200"/>
        <w:jc w:val="left"/>
        <w:rPr>
          <w:rFonts w:hAnsi="宋体"/>
          <w:szCs w:val="21"/>
        </w:rPr>
      </w:pPr>
      <w:r>
        <w:rPr>
          <w:rFonts w:hint="eastAsia" w:hAnsi="宋体"/>
          <w:szCs w:val="21"/>
        </w:rPr>
        <w:t>1.2采购代理机构：详见《供应商须知前附表》。</w:t>
      </w:r>
    </w:p>
    <w:p w14:paraId="0C84A8DA">
      <w:pPr>
        <w:tabs>
          <w:tab w:val="left" w:pos="3150"/>
          <w:tab w:val="center" w:pos="4734"/>
        </w:tabs>
        <w:spacing w:line="360" w:lineRule="auto"/>
        <w:ind w:firstLine="480" w:firstLineChars="200"/>
        <w:jc w:val="left"/>
        <w:outlineLvl w:val="2"/>
        <w:rPr>
          <w:rFonts w:ascii="黑体" w:hAnsi="黑体" w:eastAsia="黑体" w:cs="黑体"/>
          <w:b/>
          <w:sz w:val="24"/>
        </w:rPr>
      </w:pPr>
      <w:bookmarkStart w:id="138" w:name="_Toc31782"/>
      <w:r>
        <w:rPr>
          <w:rFonts w:hint="eastAsia" w:ascii="黑体" w:hAnsi="黑体" w:eastAsia="黑体" w:cs="黑体"/>
          <w:b/>
          <w:sz w:val="24"/>
        </w:rPr>
        <w:t>2</w:t>
      </w:r>
      <w:bookmarkEnd w:id="138"/>
      <w:r>
        <w:rPr>
          <w:rFonts w:hint="eastAsia" w:ascii="黑体" w:hAnsi="黑体" w:eastAsia="黑体" w:cs="黑体"/>
          <w:b/>
          <w:sz w:val="24"/>
        </w:rPr>
        <w:t>.项目基本情况</w:t>
      </w:r>
    </w:p>
    <w:p w14:paraId="53AE9EAE">
      <w:pPr>
        <w:spacing w:line="360" w:lineRule="auto"/>
        <w:ind w:firstLine="420" w:firstLineChars="200"/>
        <w:jc w:val="left"/>
        <w:rPr>
          <w:rFonts w:hAnsi="宋体"/>
          <w:szCs w:val="21"/>
        </w:rPr>
      </w:pPr>
      <w:bookmarkStart w:id="139" w:name="OLE_LINK160"/>
      <w:r>
        <w:rPr>
          <w:rFonts w:hint="eastAsia" w:hAnsi="宋体"/>
          <w:szCs w:val="21"/>
        </w:rPr>
        <w:t>2.1</w:t>
      </w:r>
      <w:r>
        <w:rPr>
          <w:rFonts w:hint="eastAsia" w:ascii="宋体" w:hAnsi="宋体" w:cs="宋体"/>
          <w:szCs w:val="21"/>
        </w:rPr>
        <w:t>项目名称及项目编号：</w:t>
      </w:r>
      <w:r>
        <w:rPr>
          <w:rFonts w:hint="eastAsia" w:hAnsi="宋体"/>
          <w:szCs w:val="21"/>
        </w:rPr>
        <w:t>详见《供应商须知前附表》。</w:t>
      </w:r>
    </w:p>
    <w:p w14:paraId="5ACEAB31">
      <w:pPr>
        <w:spacing w:line="360" w:lineRule="auto"/>
        <w:ind w:firstLine="420" w:firstLineChars="200"/>
        <w:jc w:val="left"/>
        <w:rPr>
          <w:rFonts w:hAnsi="宋体"/>
          <w:szCs w:val="21"/>
        </w:rPr>
      </w:pPr>
      <w:r>
        <w:rPr>
          <w:rFonts w:hint="eastAsia" w:hAnsi="宋体"/>
          <w:szCs w:val="21"/>
        </w:rPr>
        <w:t>2.2预算金额</w:t>
      </w:r>
      <w:r>
        <w:rPr>
          <w:szCs w:val="21"/>
        </w:rPr>
        <w:t>及最高限价</w:t>
      </w:r>
      <w:r>
        <w:rPr>
          <w:rFonts w:hint="eastAsia" w:hAnsi="宋体"/>
          <w:szCs w:val="21"/>
        </w:rPr>
        <w:t>：详见《供应商须知前附表》。</w:t>
      </w:r>
    </w:p>
    <w:p w14:paraId="5D5DE046">
      <w:pPr>
        <w:spacing w:line="360" w:lineRule="auto"/>
        <w:ind w:firstLine="420" w:firstLineChars="200"/>
        <w:jc w:val="left"/>
        <w:rPr>
          <w:rFonts w:hAnsi="宋体"/>
          <w:szCs w:val="21"/>
        </w:rPr>
      </w:pPr>
      <w:r>
        <w:rPr>
          <w:rFonts w:hint="eastAsia" w:hAnsi="宋体"/>
          <w:szCs w:val="21"/>
        </w:rPr>
        <w:t>2.3采购需求：详见《供应商须知前附表》。</w:t>
      </w:r>
    </w:p>
    <w:p w14:paraId="6C06E126">
      <w:pPr>
        <w:spacing w:line="360" w:lineRule="auto"/>
        <w:ind w:firstLine="420" w:firstLineChars="200"/>
        <w:jc w:val="left"/>
        <w:rPr>
          <w:rFonts w:hAnsi="宋体"/>
          <w:szCs w:val="21"/>
        </w:rPr>
      </w:pPr>
      <w:r>
        <w:rPr>
          <w:rFonts w:hint="eastAsia" w:hAnsi="宋体"/>
          <w:szCs w:val="21"/>
        </w:rPr>
        <w:t>2.4合同履行期限（服务期限）：详见《供应商须知前附表》。</w:t>
      </w:r>
    </w:p>
    <w:p w14:paraId="73C3CDC9">
      <w:pPr>
        <w:spacing w:line="360" w:lineRule="auto"/>
        <w:ind w:firstLine="420" w:firstLineChars="200"/>
        <w:jc w:val="left"/>
        <w:rPr>
          <w:rFonts w:hAnsi="宋体"/>
          <w:szCs w:val="21"/>
        </w:rPr>
      </w:pPr>
      <w:r>
        <w:rPr>
          <w:rFonts w:hint="eastAsia" w:hAnsi="宋体"/>
          <w:szCs w:val="21"/>
        </w:rPr>
        <w:t>2.5服务地点：详见《供应商须知前附表》。</w:t>
      </w:r>
    </w:p>
    <w:bookmarkEnd w:id="139"/>
    <w:p w14:paraId="31DF37D7">
      <w:pPr>
        <w:tabs>
          <w:tab w:val="left" w:pos="3150"/>
          <w:tab w:val="center" w:pos="4734"/>
        </w:tabs>
        <w:spacing w:line="360" w:lineRule="auto"/>
        <w:ind w:firstLine="480" w:firstLineChars="200"/>
        <w:jc w:val="left"/>
        <w:outlineLvl w:val="2"/>
        <w:rPr>
          <w:rFonts w:ascii="黑体" w:hAnsi="黑体" w:eastAsia="黑体" w:cs="黑体"/>
          <w:b/>
          <w:sz w:val="24"/>
        </w:rPr>
      </w:pPr>
      <w:bookmarkStart w:id="140" w:name="_Toc19644"/>
      <w:r>
        <w:rPr>
          <w:rFonts w:hint="eastAsia" w:ascii="黑体" w:hAnsi="黑体" w:eastAsia="黑体" w:cs="黑体"/>
          <w:b/>
          <w:sz w:val="24"/>
        </w:rPr>
        <w:t>3.</w:t>
      </w:r>
      <w:bookmarkStart w:id="141" w:name="OLE_LINK161"/>
      <w:r>
        <w:rPr>
          <w:rFonts w:hint="eastAsia" w:ascii="黑体" w:hAnsi="黑体" w:eastAsia="黑体" w:cs="黑体"/>
          <w:b/>
          <w:sz w:val="24"/>
        </w:rPr>
        <w:t>供应商资格要求</w:t>
      </w:r>
      <w:bookmarkEnd w:id="140"/>
      <w:bookmarkEnd w:id="141"/>
    </w:p>
    <w:p w14:paraId="706CC7CB">
      <w:pPr>
        <w:spacing w:line="360" w:lineRule="auto"/>
        <w:ind w:firstLine="420"/>
        <w:rPr>
          <w:rFonts w:ascii="宋体" w:hAnsi="宋体" w:cs="宋体"/>
        </w:rPr>
      </w:pPr>
      <w:bookmarkStart w:id="142" w:name="OLE_LINK162"/>
      <w:r>
        <w:rPr>
          <w:rFonts w:hint="eastAsia" w:ascii="宋体" w:hAnsi="宋体" w:cs="宋体"/>
        </w:rPr>
        <w:t>3.1满足《中华人民共和国政府采购法》第二十二条规定：详见《供应商须知前附表》。</w:t>
      </w:r>
    </w:p>
    <w:p w14:paraId="5BFBE69F">
      <w:pPr>
        <w:spacing w:line="360" w:lineRule="auto"/>
        <w:ind w:firstLine="420"/>
        <w:rPr>
          <w:rFonts w:ascii="宋体" w:hAnsi="宋体" w:cs="宋体"/>
        </w:rPr>
      </w:pPr>
      <w:r>
        <w:rPr>
          <w:rFonts w:hint="eastAsia" w:ascii="宋体" w:hAnsi="宋体" w:cs="宋体"/>
        </w:rPr>
        <w:t>3.2落实采购政策需满足的资格要求：详见《供应商须知前附表》。</w:t>
      </w:r>
    </w:p>
    <w:p w14:paraId="18CB54D3">
      <w:pPr>
        <w:spacing w:line="360" w:lineRule="auto"/>
        <w:ind w:firstLine="420"/>
        <w:rPr>
          <w:rFonts w:ascii="宋体" w:hAnsi="宋体" w:cs="宋体"/>
        </w:rPr>
      </w:pPr>
      <w:r>
        <w:rPr>
          <w:rFonts w:hint="eastAsia" w:ascii="宋体" w:hAnsi="宋体" w:cs="宋体"/>
        </w:rPr>
        <w:t>3.3本项目的特定资格要求：详见《供应商须知前附表》。</w:t>
      </w:r>
    </w:p>
    <w:p w14:paraId="179A8831">
      <w:pPr>
        <w:spacing w:line="360" w:lineRule="auto"/>
        <w:ind w:firstLine="420"/>
        <w:rPr>
          <w:rFonts w:ascii="宋体" w:hAnsi="宋体" w:cs="宋体"/>
        </w:rPr>
      </w:pPr>
      <w:r>
        <w:rPr>
          <w:rFonts w:hint="eastAsia" w:ascii="宋体" w:hAnsi="宋体" w:cs="宋体"/>
        </w:rPr>
        <w:t>3.4供应商为满足供应商的资格要求提供虚假材料，一经查实，视为未实质性响应单一来源采购文件，响应文件按无效处理。</w:t>
      </w:r>
    </w:p>
    <w:bookmarkEnd w:id="142"/>
    <w:p w14:paraId="5CDEC492">
      <w:pPr>
        <w:tabs>
          <w:tab w:val="left" w:pos="3150"/>
          <w:tab w:val="center" w:pos="4734"/>
        </w:tabs>
        <w:spacing w:line="500" w:lineRule="exact"/>
        <w:ind w:firstLine="480" w:firstLineChars="200"/>
        <w:jc w:val="left"/>
        <w:outlineLvl w:val="2"/>
        <w:rPr>
          <w:rFonts w:ascii="黑体" w:hAnsi="黑体" w:eastAsia="黑体" w:cs="黑体"/>
          <w:b/>
          <w:sz w:val="24"/>
        </w:rPr>
      </w:pPr>
      <w:bookmarkStart w:id="143" w:name="_Toc10682"/>
      <w:r>
        <w:rPr>
          <w:rFonts w:hint="eastAsia" w:ascii="黑体" w:hAnsi="黑体" w:eastAsia="黑体" w:cs="黑体"/>
          <w:b/>
          <w:sz w:val="24"/>
        </w:rPr>
        <w:t>4.联合体</w:t>
      </w:r>
      <w:bookmarkEnd w:id="143"/>
    </w:p>
    <w:p w14:paraId="465724CF">
      <w:pPr>
        <w:spacing w:line="360" w:lineRule="auto"/>
        <w:ind w:firstLine="420"/>
        <w:rPr>
          <w:rFonts w:ascii="宋体" w:hAnsi="宋体" w:cs="宋体"/>
        </w:rPr>
      </w:pPr>
      <w:r>
        <w:rPr>
          <w:rFonts w:hint="eastAsia" w:ascii="宋体" w:hAnsi="宋体" w:cs="宋体"/>
        </w:rPr>
        <w:t>4.1《供应商须知前附表》规定接受联合体的，联合体各方还应遵守以下规定：</w:t>
      </w:r>
    </w:p>
    <w:p w14:paraId="09CAECBB">
      <w:pPr>
        <w:spacing w:line="360" w:lineRule="auto"/>
        <w:ind w:firstLine="420"/>
        <w:rPr>
          <w:rFonts w:ascii="宋体" w:hAnsi="宋体" w:cs="宋体"/>
        </w:rPr>
      </w:pPr>
      <w:r>
        <w:rPr>
          <w:rFonts w:hint="eastAsia" w:ascii="宋体" w:hAnsi="宋体" w:cs="宋体"/>
        </w:rPr>
        <w:t>4.1.1两个以上的自然人、法人或者其他组织可以组成一个联合体，以一个供应商的身份共同参加单一来源采购。</w:t>
      </w:r>
    </w:p>
    <w:p w14:paraId="33F8BB61">
      <w:pPr>
        <w:spacing w:line="360" w:lineRule="auto"/>
        <w:ind w:firstLine="420"/>
        <w:rPr>
          <w:rFonts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成交后联合体各方应共同与采购人签订采购合同，就采购合同约定的事项对采购人承担连带责任。</w:t>
      </w:r>
    </w:p>
    <w:p w14:paraId="3A0884C9">
      <w:pPr>
        <w:spacing w:line="360" w:lineRule="auto"/>
        <w:ind w:firstLine="420"/>
        <w:rPr>
          <w:rFonts w:ascii="宋体" w:hAnsi="宋体" w:cs="宋体"/>
        </w:rPr>
      </w:pPr>
      <w:r>
        <w:rPr>
          <w:rFonts w:hint="eastAsia" w:ascii="宋体" w:hAnsi="宋体" w:cs="宋体"/>
        </w:rPr>
        <w:t>4.1.3联合体各方均应满足单一来源采购文件中对供应商的资格要求，单一来源采购文件中有特定资格要求的，联合体各方应根据联合协议中各自</w:t>
      </w:r>
      <w:bookmarkStart w:id="144" w:name="OLE_LINK53"/>
      <w:r>
        <w:rPr>
          <w:rFonts w:hint="eastAsia" w:ascii="宋体" w:hAnsi="宋体" w:cs="宋体"/>
        </w:rPr>
        <w:t>承担的工作提供</w:t>
      </w:r>
      <w:bookmarkEnd w:id="144"/>
      <w:r>
        <w:rPr>
          <w:rFonts w:hint="eastAsia" w:ascii="宋体" w:hAnsi="宋体" w:cs="宋体"/>
        </w:rPr>
        <w:t>相应的特定资格要求证明文件，联合体各方中有同类资质并根据联合协议承担相同工作的，按照资质等级较低的确定。</w:t>
      </w:r>
    </w:p>
    <w:bookmarkEnd w:id="130"/>
    <w:bookmarkEnd w:id="131"/>
    <w:bookmarkEnd w:id="132"/>
    <w:bookmarkEnd w:id="134"/>
    <w:bookmarkEnd w:id="135"/>
    <w:bookmarkEnd w:id="136"/>
    <w:p w14:paraId="01F2B0EB">
      <w:pPr>
        <w:tabs>
          <w:tab w:val="left" w:pos="3150"/>
          <w:tab w:val="center" w:pos="4734"/>
        </w:tabs>
        <w:spacing w:line="500" w:lineRule="exact"/>
        <w:ind w:firstLine="480" w:firstLineChars="200"/>
        <w:jc w:val="left"/>
        <w:outlineLvl w:val="2"/>
        <w:rPr>
          <w:rFonts w:ascii="黑体" w:hAnsi="黑体" w:eastAsia="黑体" w:cs="黑体"/>
          <w:b/>
          <w:sz w:val="24"/>
        </w:rPr>
      </w:pPr>
      <w:bookmarkStart w:id="145" w:name="_Toc7150"/>
      <w:bookmarkStart w:id="146" w:name="OLE_LINK164"/>
      <w:r>
        <w:rPr>
          <w:rFonts w:hint="eastAsia" w:ascii="黑体" w:hAnsi="黑体" w:eastAsia="黑体" w:cs="黑体"/>
          <w:b/>
          <w:sz w:val="24"/>
        </w:rPr>
        <w:t>5.现场考察</w:t>
      </w:r>
      <w:bookmarkEnd w:id="145"/>
    </w:p>
    <w:p w14:paraId="3CD332B8">
      <w:pPr>
        <w:spacing w:line="360" w:lineRule="auto"/>
        <w:ind w:firstLine="420"/>
        <w:rPr>
          <w:rFonts w:ascii="宋体" w:hAnsi="宋体" w:cs="宋体"/>
        </w:rPr>
      </w:pPr>
      <w:r>
        <w:rPr>
          <w:rFonts w:hint="eastAsia" w:ascii="宋体" w:hAnsi="宋体" w:cs="宋体"/>
        </w:rPr>
        <w:t>5.1《供应商须知前附表》规定组织现场考察的，采购人将按规定的时间、地点组织已获取单一来源采购文件的潜在供应商现场考察。</w:t>
      </w:r>
    </w:p>
    <w:p w14:paraId="2563A4DF">
      <w:pPr>
        <w:spacing w:line="360" w:lineRule="auto"/>
        <w:ind w:firstLine="420"/>
        <w:rPr>
          <w:rFonts w:ascii="宋体" w:hAnsi="宋体" w:cs="宋体"/>
        </w:rPr>
      </w:pPr>
      <w:r>
        <w:rPr>
          <w:rFonts w:hint="eastAsia" w:ascii="宋体" w:hAnsi="宋体" w:cs="宋体"/>
        </w:rPr>
        <w:t>5.2现场考察所发生的费用由潜在供应商自理。</w:t>
      </w:r>
    </w:p>
    <w:p w14:paraId="034C3268">
      <w:pPr>
        <w:spacing w:line="360" w:lineRule="auto"/>
        <w:ind w:firstLine="420"/>
        <w:rPr>
          <w:rFonts w:ascii="宋体" w:hAnsi="宋体" w:cs="宋体"/>
        </w:rPr>
      </w:pPr>
      <w:r>
        <w:rPr>
          <w:rFonts w:hint="eastAsia" w:ascii="宋体" w:hAnsi="宋体" w:cs="宋体"/>
        </w:rPr>
        <w:t>5.3 除采购人的原因外，潜在供应商自行负责在现场考察中所发生的人员伤亡和财产损失。</w:t>
      </w:r>
    </w:p>
    <w:p w14:paraId="12CFC4C9">
      <w:pPr>
        <w:autoSpaceDE w:val="0"/>
        <w:autoSpaceDN w:val="0"/>
        <w:adjustRightInd w:val="0"/>
        <w:spacing w:line="440" w:lineRule="exact"/>
        <w:ind w:firstLine="420" w:firstLineChars="200"/>
        <w:rPr>
          <w:rFonts w:hAnsi="宋体"/>
          <w:b/>
          <w:bCs/>
          <w:sz w:val="24"/>
        </w:rPr>
      </w:pPr>
      <w:r>
        <w:rPr>
          <w:rFonts w:hint="eastAsia" w:ascii="宋体" w:hAnsi="宋体" w:cs="宋体"/>
        </w:rPr>
        <w:t>5.4 采购人在现场考察中介绍的项目基本情况，仅供潜在供应商在编制响应文件时参考，采购人不对潜在供应商据此作出的判断和决策负责。</w:t>
      </w:r>
    </w:p>
    <w:p w14:paraId="2D5773AC">
      <w:pPr>
        <w:tabs>
          <w:tab w:val="left" w:pos="3150"/>
          <w:tab w:val="center" w:pos="4734"/>
        </w:tabs>
        <w:spacing w:line="500" w:lineRule="exact"/>
        <w:ind w:firstLine="480" w:firstLineChars="200"/>
        <w:jc w:val="left"/>
        <w:outlineLvl w:val="2"/>
        <w:rPr>
          <w:rFonts w:ascii="黑体" w:hAnsi="黑体" w:eastAsia="黑体" w:cs="黑体"/>
          <w:b/>
          <w:sz w:val="24"/>
        </w:rPr>
      </w:pPr>
      <w:bookmarkStart w:id="147" w:name="_Toc7633"/>
      <w:r>
        <w:rPr>
          <w:rFonts w:hint="eastAsia" w:ascii="黑体" w:hAnsi="黑体" w:eastAsia="黑体" w:cs="黑体"/>
          <w:b/>
          <w:sz w:val="24"/>
        </w:rPr>
        <w:t>6.采购前答疑会</w:t>
      </w:r>
      <w:bookmarkEnd w:id="147"/>
    </w:p>
    <w:p w14:paraId="053A3CBC">
      <w:pPr>
        <w:spacing w:line="360" w:lineRule="auto"/>
        <w:ind w:firstLine="420" w:firstLineChars="200"/>
        <w:jc w:val="left"/>
        <w:rPr>
          <w:rFonts w:hAnsi="宋体"/>
          <w:szCs w:val="21"/>
        </w:rPr>
      </w:pPr>
      <w:r>
        <w:rPr>
          <w:rFonts w:hint="eastAsia" w:hAnsi="宋体"/>
          <w:szCs w:val="21"/>
        </w:rPr>
        <w:t>6.1</w:t>
      </w:r>
      <w:r>
        <w:rPr>
          <w:rFonts w:hint="eastAsia" w:ascii="宋体" w:hAnsi="宋体" w:cs="宋体"/>
        </w:rPr>
        <w:t>《供应商须知前附表》规定召开采购前答疑会的，采购人将按规定的时间、地点组织已获取单一来源采购文件的潜在供应商召开采购前答疑会</w:t>
      </w:r>
      <w:r>
        <w:rPr>
          <w:rFonts w:hint="eastAsia" w:hAnsi="宋体"/>
          <w:szCs w:val="21"/>
        </w:rPr>
        <w:t>。</w:t>
      </w:r>
    </w:p>
    <w:p w14:paraId="7A16F867">
      <w:pPr>
        <w:tabs>
          <w:tab w:val="left" w:pos="3150"/>
          <w:tab w:val="center" w:pos="4734"/>
        </w:tabs>
        <w:spacing w:line="500" w:lineRule="exact"/>
        <w:ind w:firstLine="480" w:firstLineChars="200"/>
        <w:jc w:val="left"/>
        <w:outlineLvl w:val="2"/>
        <w:rPr>
          <w:rFonts w:ascii="黑体" w:hAnsi="黑体" w:eastAsia="黑体" w:cs="黑体"/>
          <w:b/>
          <w:sz w:val="24"/>
        </w:rPr>
      </w:pPr>
      <w:bookmarkStart w:id="148" w:name="_Toc29331"/>
      <w:r>
        <w:rPr>
          <w:rFonts w:hint="eastAsia" w:ascii="黑体" w:hAnsi="黑体" w:eastAsia="黑体" w:cs="黑体"/>
          <w:b/>
          <w:sz w:val="24"/>
        </w:rPr>
        <w:t>7.费用承担</w:t>
      </w:r>
    </w:p>
    <w:p w14:paraId="12923702">
      <w:pPr>
        <w:spacing w:line="360" w:lineRule="auto"/>
        <w:ind w:firstLine="420" w:firstLineChars="200"/>
        <w:jc w:val="left"/>
        <w:rPr>
          <w:rFonts w:ascii="宋体" w:hAnsi="宋体" w:cs="宋体"/>
          <w:szCs w:val="21"/>
        </w:rPr>
      </w:pPr>
      <w:r>
        <w:rPr>
          <w:rFonts w:hint="eastAsia" w:hAnsi="宋体"/>
          <w:szCs w:val="21"/>
        </w:rPr>
        <w:t>7.1无论是否成交，供应商自行承担所有与参加本次单一来源采购活动所产生的全部费用。</w:t>
      </w:r>
      <w:bookmarkEnd w:id="146"/>
      <w:bookmarkEnd w:id="148"/>
    </w:p>
    <w:p w14:paraId="7CAD3759">
      <w:pPr>
        <w:pStyle w:val="4"/>
        <w:spacing w:before="0" w:after="0" w:line="440" w:lineRule="exact"/>
        <w:rPr>
          <w:rFonts w:ascii="黑体" w:hAnsi="黑体" w:eastAsia="黑体" w:cs="黑体"/>
          <w:bCs w:val="0"/>
          <w:snapToGrid w:val="0"/>
          <w:kern w:val="21"/>
          <w:szCs w:val="28"/>
        </w:rPr>
      </w:pPr>
      <w:bookmarkStart w:id="149" w:name="_Toc10288"/>
      <w:bookmarkStart w:id="150" w:name="_Toc428490726"/>
      <w:bookmarkStart w:id="151" w:name="_Toc490305693"/>
      <w:bookmarkStart w:id="152" w:name="_Toc17371"/>
      <w:bookmarkStart w:id="153" w:name="_Toc498050638"/>
      <w:bookmarkStart w:id="154" w:name="_Toc462330068"/>
      <w:bookmarkStart w:id="155" w:name="_Toc86124047"/>
      <w:r>
        <w:rPr>
          <w:rFonts w:hint="eastAsia" w:ascii="黑体" w:hAnsi="黑体" w:eastAsia="黑体" w:cs="黑体"/>
          <w:bCs w:val="0"/>
          <w:snapToGrid w:val="0"/>
          <w:kern w:val="21"/>
          <w:szCs w:val="28"/>
        </w:rPr>
        <w:t>二、采购文件</w:t>
      </w:r>
      <w:bookmarkEnd w:id="149"/>
      <w:bookmarkEnd w:id="150"/>
      <w:bookmarkEnd w:id="151"/>
      <w:bookmarkEnd w:id="152"/>
      <w:bookmarkEnd w:id="153"/>
      <w:bookmarkEnd w:id="154"/>
      <w:bookmarkEnd w:id="155"/>
    </w:p>
    <w:p w14:paraId="510B07A1">
      <w:pPr>
        <w:tabs>
          <w:tab w:val="left" w:pos="3150"/>
          <w:tab w:val="center" w:pos="4734"/>
        </w:tabs>
        <w:spacing w:line="500" w:lineRule="exact"/>
        <w:ind w:firstLine="480" w:firstLineChars="200"/>
        <w:jc w:val="left"/>
        <w:outlineLvl w:val="2"/>
        <w:rPr>
          <w:rFonts w:ascii="黑体" w:hAnsi="黑体" w:eastAsia="黑体" w:cs="黑体"/>
          <w:b/>
          <w:sz w:val="24"/>
        </w:rPr>
      </w:pPr>
      <w:bookmarkStart w:id="156" w:name="_Toc13810"/>
      <w:bookmarkStart w:id="157" w:name="OLE_LINK166"/>
      <w:bookmarkStart w:id="158" w:name="_Toc498050639"/>
      <w:bookmarkStart w:id="159" w:name="_Toc462330069"/>
      <w:bookmarkStart w:id="160" w:name="_Toc428490727"/>
      <w:bookmarkStart w:id="161" w:name="_Toc20982"/>
      <w:bookmarkStart w:id="162" w:name="_Toc327533967"/>
      <w:bookmarkStart w:id="163" w:name="_Toc490305694"/>
      <w:r>
        <w:rPr>
          <w:rFonts w:hint="eastAsia" w:ascii="黑体" w:hAnsi="黑体" w:eastAsia="黑体" w:cs="黑体"/>
          <w:b/>
          <w:sz w:val="24"/>
        </w:rPr>
        <w:t>8.</w:t>
      </w:r>
      <w:bookmarkStart w:id="164" w:name="OLE_LINK54"/>
      <w:r>
        <w:rPr>
          <w:rFonts w:hint="eastAsia" w:ascii="黑体" w:hAnsi="黑体" w:eastAsia="黑体" w:cs="黑体"/>
          <w:b/>
          <w:sz w:val="24"/>
        </w:rPr>
        <w:t>采购</w:t>
      </w:r>
      <w:bookmarkEnd w:id="164"/>
      <w:r>
        <w:rPr>
          <w:rFonts w:hint="eastAsia" w:ascii="黑体" w:hAnsi="黑体" w:eastAsia="黑体" w:cs="黑体"/>
          <w:b/>
          <w:sz w:val="24"/>
        </w:rPr>
        <w:t>文件编制依据</w:t>
      </w:r>
      <w:bookmarkEnd w:id="156"/>
    </w:p>
    <w:p w14:paraId="59586A6B">
      <w:pPr>
        <w:tabs>
          <w:tab w:val="left" w:pos="105"/>
          <w:tab w:val="left" w:pos="735"/>
          <w:tab w:val="left" w:pos="945"/>
          <w:tab w:val="left" w:pos="3360"/>
        </w:tabs>
        <w:adjustRightInd w:val="0"/>
        <w:snapToGrid w:val="0"/>
        <w:spacing w:line="440" w:lineRule="exact"/>
        <w:ind w:firstLine="420" w:firstLineChars="200"/>
        <w:rPr>
          <w:rFonts w:hAnsi="宋体" w:cs="宋体"/>
          <w:szCs w:val="21"/>
        </w:rPr>
      </w:pPr>
      <w:r>
        <w:rPr>
          <w:rFonts w:hint="eastAsia" w:hAnsi="宋体"/>
          <w:szCs w:val="21"/>
        </w:rPr>
        <w:t>8.1</w:t>
      </w:r>
      <w:r>
        <w:rPr>
          <w:rFonts w:hint="eastAsia" w:ascii="宋体" w:hAnsi="宋体" w:cs="宋体"/>
        </w:rPr>
        <w:t>本项目单一来源采购文件根据《中华人民共和国政府采购法》、</w:t>
      </w:r>
      <w:bookmarkStart w:id="165" w:name="OLE_LINK90"/>
      <w:r>
        <w:rPr>
          <w:rFonts w:hint="eastAsia" w:ascii="宋体" w:hAnsi="宋体" w:cs="宋体"/>
        </w:rPr>
        <w:t>《中华人民共和国政府采购法实施条例》</w:t>
      </w:r>
      <w:bookmarkEnd w:id="165"/>
      <w:r>
        <w:rPr>
          <w:rFonts w:hint="eastAsia" w:hAnsi="宋体"/>
          <w:szCs w:val="21"/>
        </w:rPr>
        <w:t>、《</w:t>
      </w:r>
      <w:r>
        <w:rPr>
          <w:rFonts w:hint="eastAsia"/>
          <w:szCs w:val="21"/>
        </w:rPr>
        <w:t>政府采购非招标采购方式管理办法</w:t>
      </w:r>
      <w:r>
        <w:rPr>
          <w:rFonts w:hint="eastAsia" w:hAnsi="宋体"/>
          <w:szCs w:val="21"/>
        </w:rPr>
        <w:t>》</w:t>
      </w:r>
      <w:r>
        <w:rPr>
          <w:rFonts w:hint="eastAsia" w:ascii="宋体" w:hAnsi="宋体" w:cs="宋体"/>
        </w:rPr>
        <w:t>等有关法律、法规编制，解释权属于采购人、采购代理机构</w:t>
      </w:r>
      <w:r>
        <w:rPr>
          <w:rFonts w:hint="eastAsia" w:hAnsi="宋体"/>
          <w:szCs w:val="21"/>
        </w:rPr>
        <w:t>。</w:t>
      </w:r>
      <w:bookmarkEnd w:id="157"/>
    </w:p>
    <w:p w14:paraId="2FCD00DF">
      <w:pPr>
        <w:pStyle w:val="5"/>
        <w:spacing w:before="0" w:after="0" w:line="440" w:lineRule="exact"/>
        <w:ind w:firstLine="482"/>
        <w:jc w:val="both"/>
        <w:rPr>
          <w:rFonts w:ascii="黑体" w:hAnsi="黑体" w:eastAsia="黑体" w:cs="黑体"/>
          <w:bCs w:val="0"/>
          <w:snapToGrid w:val="0"/>
          <w:kern w:val="21"/>
          <w:szCs w:val="24"/>
        </w:rPr>
      </w:pPr>
      <w:r>
        <w:rPr>
          <w:rFonts w:hint="eastAsia" w:ascii="黑体" w:hAnsi="黑体" w:eastAsia="黑体" w:cs="黑体"/>
          <w:bCs w:val="0"/>
          <w:snapToGrid w:val="0"/>
          <w:kern w:val="21"/>
          <w:szCs w:val="24"/>
        </w:rPr>
        <w:t>9.</w:t>
      </w:r>
      <w:bookmarkStart w:id="166" w:name="OLE_LINK59"/>
      <w:r>
        <w:rPr>
          <w:rFonts w:hint="eastAsia" w:ascii="黑体" w:hAnsi="黑体" w:eastAsia="黑体" w:cs="黑体"/>
          <w:bCs w:val="0"/>
          <w:snapToGrid w:val="0"/>
          <w:kern w:val="21"/>
          <w:szCs w:val="24"/>
        </w:rPr>
        <w:t>采购文件</w:t>
      </w:r>
      <w:bookmarkEnd w:id="166"/>
      <w:r>
        <w:rPr>
          <w:rFonts w:hint="eastAsia" w:ascii="黑体" w:hAnsi="黑体" w:eastAsia="黑体" w:cs="黑体"/>
          <w:bCs w:val="0"/>
          <w:snapToGrid w:val="0"/>
          <w:kern w:val="21"/>
          <w:szCs w:val="24"/>
        </w:rPr>
        <w:t>的组成</w:t>
      </w:r>
      <w:bookmarkEnd w:id="158"/>
      <w:bookmarkEnd w:id="159"/>
      <w:bookmarkEnd w:id="160"/>
      <w:bookmarkEnd w:id="161"/>
      <w:bookmarkEnd w:id="162"/>
      <w:bookmarkEnd w:id="163"/>
    </w:p>
    <w:p w14:paraId="66E5B038">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9.1采购人要求提供的</w:t>
      </w:r>
      <w:r>
        <w:rPr>
          <w:rFonts w:hint="eastAsia" w:cs="宋体"/>
          <w:kern w:val="0"/>
          <w:szCs w:val="21"/>
        </w:rPr>
        <w:t>货物、工程或者服务</w:t>
      </w:r>
      <w:r>
        <w:rPr>
          <w:rFonts w:hint="eastAsia" w:ascii="宋体" w:hAnsi="宋体" w:cs="宋体"/>
          <w:szCs w:val="21"/>
        </w:rPr>
        <w:t>及合同条款在</w:t>
      </w:r>
      <w:bookmarkStart w:id="167" w:name="OLE_LINK58"/>
      <w:r>
        <w:rPr>
          <w:rFonts w:hint="eastAsia" w:ascii="宋体" w:hAnsi="宋体" w:cs="宋体"/>
          <w:szCs w:val="21"/>
        </w:rPr>
        <w:t>单一来源采购文件</w:t>
      </w:r>
      <w:bookmarkEnd w:id="167"/>
      <w:r>
        <w:rPr>
          <w:rFonts w:hint="eastAsia" w:ascii="宋体" w:hAnsi="宋体" w:cs="宋体"/>
          <w:szCs w:val="21"/>
        </w:rPr>
        <w:t>中均有说明，单一来源采购文件共六章，各章的内容</w:t>
      </w:r>
      <w:bookmarkStart w:id="168" w:name="OLE_LINK56"/>
      <w:r>
        <w:rPr>
          <w:rFonts w:hint="eastAsia" w:ascii="宋体" w:hAnsi="宋体" w:cs="宋体"/>
          <w:szCs w:val="21"/>
        </w:rPr>
        <w:t>如下：</w:t>
      </w:r>
      <w:bookmarkEnd w:id="168"/>
    </w:p>
    <w:p w14:paraId="0FED69BA">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第一章  单一来源采购邀请书</w:t>
      </w:r>
    </w:p>
    <w:p w14:paraId="6D3CA26D">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第二章  供应商须知</w:t>
      </w:r>
    </w:p>
    <w:p w14:paraId="328E1C40">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第三章  合同书样式及主要条款</w:t>
      </w:r>
    </w:p>
    <w:p w14:paraId="18E2C528">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第四章  响应文件格式</w:t>
      </w:r>
    </w:p>
    <w:p w14:paraId="36F87976">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第五章  采购需求</w:t>
      </w:r>
    </w:p>
    <w:p w14:paraId="05092646">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第六章  评审方法</w:t>
      </w:r>
    </w:p>
    <w:p w14:paraId="0247D9A4">
      <w:pPr>
        <w:spacing w:line="440" w:lineRule="exact"/>
        <w:ind w:firstLine="420" w:firstLineChars="200"/>
        <w:rPr>
          <w:rFonts w:hAnsi="宋体" w:cs="宋体"/>
          <w:szCs w:val="21"/>
        </w:rPr>
      </w:pPr>
      <w:bookmarkStart w:id="169" w:name="OLE_LINK57"/>
      <w:bookmarkStart w:id="170" w:name="_Toc86124049"/>
      <w:bookmarkStart w:id="171" w:name="_Toc490305695"/>
      <w:bookmarkStart w:id="172" w:name="_Toc327533968"/>
      <w:bookmarkStart w:id="173" w:name="_Toc11286"/>
      <w:bookmarkStart w:id="174" w:name="_Toc428490728"/>
      <w:bookmarkStart w:id="175" w:name="_Toc498050640"/>
      <w:bookmarkStart w:id="176" w:name="_Toc462330070"/>
      <w:r>
        <w:rPr>
          <w:rFonts w:hint="eastAsia" w:ascii="宋体" w:hAnsi="宋体" w:cs="宋体"/>
        </w:rPr>
        <w:t>9.2 根据本章规定对</w:t>
      </w:r>
      <w:r>
        <w:rPr>
          <w:rFonts w:hint="eastAsia" w:ascii="宋体" w:hAnsi="宋体" w:cs="宋体"/>
          <w:szCs w:val="21"/>
        </w:rPr>
        <w:t>单一来源采购文件</w:t>
      </w:r>
      <w:r>
        <w:rPr>
          <w:rFonts w:hint="eastAsia" w:ascii="宋体" w:hAnsi="宋体" w:cs="宋体"/>
        </w:rPr>
        <w:t>所做的澄清、修改构成</w:t>
      </w:r>
      <w:r>
        <w:rPr>
          <w:rFonts w:hint="eastAsia" w:ascii="宋体" w:hAnsi="宋体" w:cs="宋体"/>
          <w:szCs w:val="21"/>
        </w:rPr>
        <w:t>单一来源采购文件</w:t>
      </w:r>
      <w:r>
        <w:rPr>
          <w:rFonts w:hint="eastAsia" w:ascii="宋体" w:hAnsi="宋体" w:cs="宋体"/>
        </w:rPr>
        <w:t>的组成部分。</w:t>
      </w:r>
    </w:p>
    <w:bookmarkEnd w:id="169"/>
    <w:p w14:paraId="7E63E783">
      <w:pPr>
        <w:tabs>
          <w:tab w:val="left" w:pos="3150"/>
          <w:tab w:val="center" w:pos="4734"/>
        </w:tabs>
        <w:spacing w:line="500" w:lineRule="exact"/>
        <w:ind w:firstLine="480" w:firstLineChars="200"/>
        <w:jc w:val="left"/>
        <w:outlineLvl w:val="2"/>
        <w:rPr>
          <w:rFonts w:ascii="黑体" w:hAnsi="黑体" w:eastAsia="黑体" w:cs="黑体"/>
          <w:b/>
          <w:sz w:val="24"/>
        </w:rPr>
      </w:pPr>
      <w:bookmarkStart w:id="177" w:name="_Toc21830"/>
      <w:r>
        <w:rPr>
          <w:rFonts w:hint="eastAsia" w:ascii="黑体" w:hAnsi="黑体" w:eastAsia="黑体" w:cs="黑体"/>
          <w:b/>
          <w:sz w:val="24"/>
        </w:rPr>
        <w:t>10.</w:t>
      </w:r>
      <w:bookmarkStart w:id="178" w:name="OLE_LINK62"/>
      <w:r>
        <w:rPr>
          <w:rFonts w:hint="eastAsia" w:ascii="黑体" w:hAnsi="黑体" w:eastAsia="黑体" w:cs="黑体"/>
          <w:b/>
          <w:snapToGrid w:val="0"/>
          <w:kern w:val="21"/>
          <w:sz w:val="24"/>
        </w:rPr>
        <w:t>采</w:t>
      </w:r>
      <w:bookmarkStart w:id="179" w:name="OLE_LINK63"/>
      <w:r>
        <w:rPr>
          <w:rFonts w:hint="eastAsia" w:ascii="黑体" w:hAnsi="黑体" w:eastAsia="黑体" w:cs="黑体"/>
          <w:b/>
          <w:snapToGrid w:val="0"/>
          <w:kern w:val="21"/>
          <w:sz w:val="24"/>
        </w:rPr>
        <w:t>购文件</w:t>
      </w:r>
      <w:bookmarkEnd w:id="178"/>
      <w:r>
        <w:rPr>
          <w:rFonts w:hint="eastAsia" w:ascii="黑体" w:hAnsi="黑体" w:eastAsia="黑体" w:cs="黑体"/>
          <w:b/>
          <w:sz w:val="24"/>
        </w:rPr>
        <w:t>的询问</w:t>
      </w:r>
      <w:bookmarkEnd w:id="177"/>
      <w:bookmarkEnd w:id="179"/>
    </w:p>
    <w:p w14:paraId="5EE8E75D">
      <w:pPr>
        <w:spacing w:line="360" w:lineRule="auto"/>
        <w:ind w:firstLine="420" w:firstLineChars="200"/>
        <w:jc w:val="left"/>
        <w:rPr>
          <w:rFonts w:hAnsi="宋体"/>
          <w:szCs w:val="21"/>
        </w:rPr>
      </w:pPr>
      <w:r>
        <w:rPr>
          <w:rFonts w:hint="eastAsia" w:hAnsi="宋体"/>
          <w:szCs w:val="21"/>
        </w:rPr>
        <w:t>10.1供应商应认真阅读</w:t>
      </w:r>
      <w:r>
        <w:rPr>
          <w:rFonts w:hint="eastAsia" w:ascii="宋体" w:hAnsi="宋体" w:cs="宋体"/>
          <w:szCs w:val="21"/>
        </w:rPr>
        <w:t>单一来源采购文件</w:t>
      </w:r>
      <w:r>
        <w:rPr>
          <w:rFonts w:hint="eastAsia" w:hAnsi="宋体"/>
          <w:szCs w:val="21"/>
        </w:rPr>
        <w:t>，如有疑问的，供应商可以向采购人或采购代理机构提出询问，采购人或者采购代理机构在接到询问后的3个工作日内对供应商依法提出的询问作出答复，但答复的内容不涉及商业秘密</w:t>
      </w:r>
      <w:r>
        <w:rPr>
          <w:rFonts w:hint="eastAsia" w:hAnsi="宋体" w:cs="宋体"/>
          <w:szCs w:val="21"/>
        </w:rPr>
        <w:t>。</w:t>
      </w:r>
    </w:p>
    <w:p w14:paraId="06DBF4FB">
      <w:pPr>
        <w:ind w:firstLine="420" w:firstLineChars="200"/>
        <w:rPr>
          <w:rFonts w:hAnsi="宋体"/>
          <w:szCs w:val="21"/>
        </w:rPr>
      </w:pPr>
      <w:bookmarkStart w:id="180" w:name="OLE_LINK170"/>
      <w:r>
        <w:rPr>
          <w:rFonts w:hint="eastAsia" w:ascii="宋体" w:hAnsi="宋体" w:cs="宋体"/>
        </w:rPr>
        <w:t>10.2 供应商应仔细阅读</w:t>
      </w:r>
      <w:bookmarkStart w:id="181" w:name="OLE_LINK60"/>
      <w:r>
        <w:rPr>
          <w:rFonts w:hint="eastAsia" w:ascii="宋体" w:hAnsi="宋体" w:cs="宋体"/>
        </w:rPr>
        <w:t>和检查</w:t>
      </w:r>
      <w:bookmarkStart w:id="182" w:name="OLE_LINK55"/>
      <w:r>
        <w:rPr>
          <w:rFonts w:hint="eastAsia" w:ascii="宋体" w:hAnsi="宋体" w:cs="宋体"/>
          <w:szCs w:val="21"/>
        </w:rPr>
        <w:t>单一</w:t>
      </w:r>
      <w:bookmarkEnd w:id="181"/>
      <w:r>
        <w:rPr>
          <w:rFonts w:hint="eastAsia" w:ascii="宋体" w:hAnsi="宋体" w:cs="宋体"/>
          <w:szCs w:val="21"/>
        </w:rPr>
        <w:t>来源采购文件</w:t>
      </w:r>
      <w:bookmarkEnd w:id="182"/>
      <w:r>
        <w:rPr>
          <w:rFonts w:hint="eastAsia" w:ascii="宋体" w:hAnsi="宋体" w:cs="宋体"/>
        </w:rPr>
        <w:t>的全部内容</w:t>
      </w:r>
      <w:bookmarkEnd w:id="180"/>
      <w:r>
        <w:rPr>
          <w:rFonts w:hint="eastAsia" w:ascii="宋体" w:hAnsi="宋体" w:cs="宋体"/>
        </w:rPr>
        <w:t>。</w:t>
      </w:r>
    </w:p>
    <w:p w14:paraId="62D36E84">
      <w:pPr>
        <w:spacing w:line="440" w:lineRule="exact"/>
        <w:ind w:firstLine="420" w:firstLineChars="200"/>
        <w:rPr>
          <w:rFonts w:ascii="宋体" w:hAnsi="宋体" w:cs="宋体"/>
        </w:rPr>
      </w:pPr>
      <w:bookmarkStart w:id="183" w:name="OLE_LINK61"/>
      <w:r>
        <w:rPr>
          <w:rFonts w:hint="eastAsia" w:ascii="宋体" w:hAnsi="宋体" w:cs="宋体"/>
        </w:rPr>
        <w:t>10.3单一来源采购文件询问联系方式：详见《供应商须知前附</w:t>
      </w:r>
      <w:bookmarkStart w:id="184" w:name="OLE_LINK169"/>
      <w:r>
        <w:rPr>
          <w:rFonts w:hint="eastAsia" w:ascii="宋体" w:hAnsi="宋体" w:cs="宋体"/>
        </w:rPr>
        <w:t>表》</w:t>
      </w:r>
      <w:bookmarkEnd w:id="184"/>
      <w:r>
        <w:rPr>
          <w:rFonts w:hint="eastAsia" w:ascii="宋体" w:hAnsi="宋体" w:cs="宋体"/>
        </w:rPr>
        <w:t>。</w:t>
      </w:r>
    </w:p>
    <w:bookmarkEnd w:id="183"/>
    <w:p w14:paraId="7670CA98">
      <w:pPr>
        <w:pStyle w:val="5"/>
        <w:spacing w:before="0" w:after="0" w:line="440" w:lineRule="exact"/>
        <w:ind w:firstLine="482"/>
        <w:jc w:val="both"/>
        <w:rPr>
          <w:rFonts w:ascii="黑体" w:hAnsi="黑体" w:eastAsia="黑体" w:cs="黑体"/>
          <w:bCs w:val="0"/>
          <w:snapToGrid w:val="0"/>
          <w:kern w:val="21"/>
          <w:szCs w:val="24"/>
        </w:rPr>
      </w:pPr>
      <w:r>
        <w:rPr>
          <w:rFonts w:hint="eastAsia" w:ascii="黑体" w:hAnsi="黑体" w:eastAsia="黑体" w:cs="黑体"/>
          <w:bCs w:val="0"/>
          <w:snapToGrid w:val="0"/>
          <w:kern w:val="21"/>
          <w:szCs w:val="24"/>
        </w:rPr>
        <w:t>11.采购文件的澄清</w:t>
      </w:r>
      <w:bookmarkEnd w:id="170"/>
      <w:r>
        <w:rPr>
          <w:rFonts w:hint="eastAsia" w:ascii="黑体" w:hAnsi="黑体" w:eastAsia="黑体" w:cs="黑体"/>
          <w:bCs w:val="0"/>
          <w:snapToGrid w:val="0"/>
          <w:kern w:val="21"/>
          <w:szCs w:val="24"/>
        </w:rPr>
        <w:t>、修改</w:t>
      </w:r>
      <w:bookmarkEnd w:id="171"/>
      <w:bookmarkEnd w:id="172"/>
      <w:bookmarkEnd w:id="173"/>
      <w:bookmarkEnd w:id="174"/>
      <w:bookmarkEnd w:id="175"/>
      <w:bookmarkEnd w:id="176"/>
    </w:p>
    <w:p w14:paraId="69E7E492">
      <w:pPr>
        <w:spacing w:line="360" w:lineRule="auto"/>
        <w:ind w:firstLine="420" w:firstLineChars="200"/>
        <w:jc w:val="left"/>
        <w:rPr>
          <w:rFonts w:hAnsi="宋体"/>
          <w:szCs w:val="21"/>
        </w:rPr>
      </w:pPr>
      <w:bookmarkStart w:id="185" w:name="OLE_LINK298"/>
      <w:r>
        <w:rPr>
          <w:rFonts w:hint="eastAsia" w:hAnsi="宋体"/>
          <w:szCs w:val="21"/>
        </w:rPr>
        <w:t>11.1提交首次响应文件截止之日前，采购人、采购代理机构可以对已发出的单一来源采购文件进行必要的澄清或者修改，澄清或者修改的内容作为单一来源采购文件的组成部分。澄清或者修改的内容可能影响响应文件编制的，采购人、采购代理机构将在提交首次响应文件截止之日3个工作日前，以书面形式通知获取单一来源采购文件的供应商，不足3个工作日的，将顺延提交首次响应文件截止之日。</w:t>
      </w:r>
    </w:p>
    <w:p w14:paraId="3A072157">
      <w:pPr>
        <w:spacing w:line="360" w:lineRule="auto"/>
        <w:ind w:firstLine="420" w:firstLineChars="200"/>
        <w:jc w:val="left"/>
        <w:rPr>
          <w:rFonts w:hAnsi="宋体"/>
          <w:szCs w:val="21"/>
        </w:rPr>
      </w:pPr>
      <w:bookmarkStart w:id="186" w:name="OLE_LINK71"/>
      <w:r>
        <w:rPr>
          <w:rFonts w:hint="eastAsia" w:hAnsi="宋体"/>
          <w:szCs w:val="21"/>
        </w:rPr>
        <w:t>11.2采购人、采购代理机构将同时发布澄清、修改文件进行说明以保证供应商能重新下载并用于编制响应文件。</w:t>
      </w:r>
    </w:p>
    <w:p w14:paraId="73A4CEE6">
      <w:pPr>
        <w:spacing w:line="360" w:lineRule="auto"/>
        <w:ind w:firstLine="420" w:firstLineChars="200"/>
        <w:jc w:val="left"/>
        <w:rPr>
          <w:rFonts w:hAnsi="宋体"/>
          <w:szCs w:val="21"/>
        </w:rPr>
      </w:pPr>
      <w:r>
        <w:rPr>
          <w:rFonts w:hint="eastAsia" w:hAnsi="宋体"/>
          <w:szCs w:val="21"/>
        </w:rPr>
        <w:t>11.3单一来源采购文件的澄清、修改内容均以网上电子文件为准，当单一来源采购文件、单一来源采购文件澄清、修改后文件内容前后相互矛盾时，以最后发出的为准。</w:t>
      </w:r>
      <w:bookmarkEnd w:id="185"/>
      <w:bookmarkEnd w:id="186"/>
    </w:p>
    <w:p w14:paraId="3D578C0E">
      <w:pPr>
        <w:spacing w:line="360" w:lineRule="auto"/>
        <w:ind w:firstLine="420" w:firstLineChars="200"/>
        <w:jc w:val="left"/>
        <w:rPr>
          <w:rFonts w:hAnsi="宋体"/>
          <w:szCs w:val="21"/>
        </w:rPr>
      </w:pPr>
      <w:r>
        <w:rPr>
          <w:rFonts w:hint="eastAsia" w:hAnsi="宋体"/>
          <w:szCs w:val="21"/>
        </w:rPr>
        <w:t>11.4如因供应商自身原因导致未及时查看有关该项目单一来源采购文件的澄清、修改内容，由此造成的一切后果由供应商自行承担。</w:t>
      </w:r>
    </w:p>
    <w:p w14:paraId="1713814C">
      <w:pPr>
        <w:pStyle w:val="4"/>
        <w:spacing w:before="0" w:after="0" w:line="440" w:lineRule="exact"/>
        <w:rPr>
          <w:rFonts w:ascii="黑体" w:hAnsi="黑体" w:eastAsia="黑体" w:cs="黑体"/>
          <w:bCs w:val="0"/>
          <w:snapToGrid w:val="0"/>
          <w:kern w:val="21"/>
          <w:szCs w:val="28"/>
        </w:rPr>
      </w:pPr>
      <w:bookmarkStart w:id="187" w:name="_Toc428490729"/>
      <w:bookmarkStart w:id="188" w:name="_Toc3217"/>
      <w:bookmarkStart w:id="189" w:name="_Toc498050641"/>
      <w:bookmarkStart w:id="190" w:name="_Toc17205"/>
      <w:bookmarkStart w:id="191" w:name="_Toc462330071"/>
      <w:bookmarkStart w:id="192" w:name="_Toc490305696"/>
      <w:bookmarkStart w:id="193" w:name="_Toc86124051"/>
      <w:r>
        <w:rPr>
          <w:rFonts w:hint="eastAsia" w:ascii="黑体" w:hAnsi="黑体" w:eastAsia="黑体" w:cs="黑体"/>
          <w:bCs w:val="0"/>
          <w:snapToGrid w:val="0"/>
          <w:kern w:val="21"/>
          <w:szCs w:val="28"/>
        </w:rPr>
        <w:t>三、响应文件</w:t>
      </w:r>
      <w:bookmarkEnd w:id="187"/>
      <w:bookmarkEnd w:id="188"/>
      <w:bookmarkEnd w:id="189"/>
      <w:bookmarkEnd w:id="190"/>
      <w:bookmarkEnd w:id="191"/>
      <w:bookmarkEnd w:id="192"/>
      <w:bookmarkEnd w:id="193"/>
    </w:p>
    <w:p w14:paraId="14620F58">
      <w:pPr>
        <w:pStyle w:val="5"/>
        <w:spacing w:before="0" w:after="0" w:line="440" w:lineRule="exact"/>
        <w:ind w:firstLine="482"/>
        <w:jc w:val="both"/>
        <w:rPr>
          <w:rFonts w:ascii="黑体" w:hAnsi="黑体" w:eastAsia="黑体" w:cs="黑体"/>
          <w:bCs w:val="0"/>
          <w:snapToGrid w:val="0"/>
          <w:kern w:val="21"/>
          <w:szCs w:val="24"/>
        </w:rPr>
      </w:pPr>
      <w:bookmarkStart w:id="194" w:name="_Toc327533970"/>
      <w:bookmarkStart w:id="195" w:name="_Toc86124052"/>
      <w:bookmarkStart w:id="196" w:name="_Toc27132"/>
      <w:bookmarkStart w:id="197" w:name="_Toc462330072"/>
      <w:bookmarkStart w:id="198" w:name="_Toc428490730"/>
      <w:bookmarkStart w:id="199" w:name="_Toc490305697"/>
      <w:bookmarkStart w:id="200" w:name="_Toc498050642"/>
      <w:r>
        <w:rPr>
          <w:rFonts w:hint="eastAsia" w:ascii="黑体" w:hAnsi="黑体" w:eastAsia="黑体" w:cs="黑体"/>
          <w:bCs w:val="0"/>
          <w:snapToGrid w:val="0"/>
          <w:kern w:val="21"/>
          <w:szCs w:val="24"/>
        </w:rPr>
        <w:t>12.响应文件</w:t>
      </w:r>
      <w:bookmarkStart w:id="201" w:name="OLE_LINK65"/>
      <w:r>
        <w:rPr>
          <w:rFonts w:hint="eastAsia" w:ascii="黑体" w:hAnsi="黑体" w:eastAsia="黑体" w:cs="黑体"/>
          <w:bCs w:val="0"/>
          <w:snapToGrid w:val="0"/>
          <w:kern w:val="21"/>
          <w:szCs w:val="24"/>
        </w:rPr>
        <w:t>编写注意事项</w:t>
      </w:r>
      <w:bookmarkEnd w:id="194"/>
      <w:bookmarkEnd w:id="195"/>
      <w:bookmarkEnd w:id="196"/>
      <w:bookmarkEnd w:id="197"/>
      <w:bookmarkEnd w:id="198"/>
      <w:bookmarkEnd w:id="199"/>
      <w:bookmarkEnd w:id="200"/>
      <w:bookmarkEnd w:id="201"/>
    </w:p>
    <w:p w14:paraId="135E6377">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12.1供应商应认真阅读</w:t>
      </w:r>
      <w:bookmarkStart w:id="202" w:name="OLE_LINK70"/>
      <w:r>
        <w:rPr>
          <w:rFonts w:hint="eastAsia" w:ascii="宋体" w:hAnsi="宋体" w:cs="宋体"/>
          <w:szCs w:val="21"/>
        </w:rPr>
        <w:t>单一来源采购文件</w:t>
      </w:r>
      <w:bookmarkEnd w:id="202"/>
      <w:r>
        <w:rPr>
          <w:rFonts w:hint="eastAsia" w:ascii="宋体" w:hAnsi="宋体" w:cs="宋体"/>
          <w:szCs w:val="21"/>
        </w:rPr>
        <w:t>，在完全了解采购内容、技术性能要求和商务条件后，根据单一来源采购文件要求编写响应文件。</w:t>
      </w:r>
    </w:p>
    <w:p w14:paraId="1EF6A798">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12.2对单一来源采购文件提出的实质性要求和条件作出响应是指供应商的响应文件必须对单一来源采购文件中规定的实质性要求和条件作出满足或者优于原要求和条件的承诺，并提供相应的证明材料，否则按无效处理。</w:t>
      </w:r>
    </w:p>
    <w:p w14:paraId="58C6C5DE">
      <w:pPr>
        <w:pStyle w:val="5"/>
        <w:spacing w:before="0" w:after="0" w:line="440" w:lineRule="exact"/>
        <w:ind w:firstLine="482"/>
        <w:jc w:val="both"/>
        <w:rPr>
          <w:rFonts w:ascii="黑体" w:hAnsi="黑体" w:eastAsia="黑体" w:cs="黑体"/>
          <w:bCs w:val="0"/>
          <w:snapToGrid w:val="0"/>
          <w:kern w:val="21"/>
          <w:szCs w:val="24"/>
        </w:rPr>
      </w:pPr>
      <w:bookmarkStart w:id="203" w:name="_Toc490305698"/>
      <w:bookmarkStart w:id="204" w:name="_Toc13015"/>
      <w:bookmarkStart w:id="205" w:name="_Toc498050643"/>
      <w:r>
        <w:rPr>
          <w:rFonts w:hint="eastAsia" w:ascii="黑体" w:hAnsi="黑体" w:eastAsia="黑体" w:cs="黑体"/>
          <w:bCs w:val="0"/>
          <w:snapToGrid w:val="0"/>
          <w:kern w:val="21"/>
          <w:szCs w:val="24"/>
        </w:rPr>
        <w:t>13.语言文字</w:t>
      </w:r>
      <w:bookmarkEnd w:id="203"/>
      <w:bookmarkEnd w:id="204"/>
      <w:bookmarkEnd w:id="205"/>
    </w:p>
    <w:p w14:paraId="22756440">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13.1供应商的响应文件以及供应商与采购代理机构就有关本项目的所有来往函电统一使用中文（特别规定除外）。</w:t>
      </w:r>
    </w:p>
    <w:p w14:paraId="3FBDC795">
      <w:pPr>
        <w:pStyle w:val="5"/>
        <w:spacing w:before="0" w:after="0" w:line="440" w:lineRule="exact"/>
        <w:ind w:firstLine="482"/>
        <w:jc w:val="both"/>
        <w:rPr>
          <w:rFonts w:ascii="黑体" w:hAnsi="黑体" w:eastAsia="黑体" w:cs="黑体"/>
          <w:bCs w:val="0"/>
          <w:snapToGrid w:val="0"/>
          <w:kern w:val="21"/>
          <w:szCs w:val="24"/>
        </w:rPr>
      </w:pPr>
      <w:bookmarkStart w:id="206" w:name="_Toc498050644"/>
      <w:bookmarkStart w:id="207" w:name="_Toc23519"/>
      <w:bookmarkStart w:id="208" w:name="_Toc490305699"/>
      <w:r>
        <w:rPr>
          <w:rFonts w:hint="eastAsia" w:ascii="黑体" w:hAnsi="黑体" w:eastAsia="黑体" w:cs="黑体"/>
          <w:bCs w:val="0"/>
          <w:snapToGrid w:val="0"/>
          <w:kern w:val="21"/>
          <w:szCs w:val="24"/>
        </w:rPr>
        <w:t>14.计</w:t>
      </w:r>
      <w:bookmarkStart w:id="209" w:name="OLE_LINK66"/>
      <w:r>
        <w:rPr>
          <w:rFonts w:hint="eastAsia" w:ascii="黑体" w:hAnsi="黑体" w:eastAsia="黑体" w:cs="黑体"/>
          <w:bCs w:val="0"/>
          <w:snapToGrid w:val="0"/>
          <w:kern w:val="21"/>
          <w:szCs w:val="24"/>
        </w:rPr>
        <w:t>量单</w:t>
      </w:r>
      <w:bookmarkEnd w:id="209"/>
      <w:r>
        <w:rPr>
          <w:rFonts w:hint="eastAsia" w:ascii="黑体" w:hAnsi="黑体" w:eastAsia="黑体" w:cs="黑体"/>
          <w:bCs w:val="0"/>
          <w:snapToGrid w:val="0"/>
          <w:kern w:val="21"/>
          <w:szCs w:val="24"/>
        </w:rPr>
        <w:t>位</w:t>
      </w:r>
      <w:bookmarkEnd w:id="206"/>
      <w:bookmarkEnd w:id="207"/>
      <w:bookmarkEnd w:id="208"/>
    </w:p>
    <w:p w14:paraId="108C2E1B">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14.1响应文件中使用的计量单位除单一来源采购文件中有特殊规定外，一律使用中国法定计量单位。</w:t>
      </w:r>
    </w:p>
    <w:p w14:paraId="6E4576ED">
      <w:pPr>
        <w:pStyle w:val="5"/>
        <w:spacing w:before="0" w:after="0" w:line="440" w:lineRule="exact"/>
        <w:ind w:firstLine="482"/>
        <w:jc w:val="both"/>
        <w:rPr>
          <w:rFonts w:ascii="黑体" w:hAnsi="黑体" w:eastAsia="黑体" w:cs="黑体"/>
          <w:bCs w:val="0"/>
          <w:snapToGrid w:val="0"/>
          <w:kern w:val="21"/>
          <w:szCs w:val="24"/>
        </w:rPr>
      </w:pPr>
      <w:bookmarkStart w:id="210" w:name="_Toc327533971"/>
      <w:bookmarkStart w:id="211" w:name="_Toc86124054"/>
      <w:bookmarkStart w:id="212" w:name="_Toc8493"/>
      <w:bookmarkStart w:id="213" w:name="_Toc490305700"/>
      <w:bookmarkStart w:id="214" w:name="_Toc462330073"/>
      <w:bookmarkStart w:id="215" w:name="_Toc428490731"/>
      <w:bookmarkStart w:id="216" w:name="_Toc498050645"/>
      <w:r>
        <w:rPr>
          <w:rFonts w:hint="eastAsia" w:ascii="黑体" w:hAnsi="黑体" w:eastAsia="黑体" w:cs="黑体"/>
          <w:bCs w:val="0"/>
          <w:snapToGrid w:val="0"/>
          <w:kern w:val="21"/>
          <w:szCs w:val="24"/>
        </w:rPr>
        <w:t>15.响应</w:t>
      </w:r>
      <w:bookmarkStart w:id="217" w:name="OLE_LINK67"/>
      <w:r>
        <w:rPr>
          <w:rFonts w:hint="eastAsia" w:ascii="黑体" w:hAnsi="黑体" w:eastAsia="黑体" w:cs="黑体"/>
          <w:bCs w:val="0"/>
          <w:snapToGrid w:val="0"/>
          <w:kern w:val="21"/>
          <w:szCs w:val="24"/>
        </w:rPr>
        <w:t>文件</w:t>
      </w:r>
      <w:bookmarkEnd w:id="210"/>
      <w:bookmarkEnd w:id="211"/>
      <w:bookmarkEnd w:id="212"/>
      <w:bookmarkEnd w:id="213"/>
      <w:bookmarkEnd w:id="214"/>
      <w:bookmarkEnd w:id="215"/>
      <w:bookmarkEnd w:id="216"/>
      <w:r>
        <w:rPr>
          <w:rFonts w:hint="eastAsia" w:ascii="黑体" w:hAnsi="黑体" w:eastAsia="黑体" w:cs="黑体"/>
          <w:bCs w:val="0"/>
          <w:snapToGrid w:val="0"/>
          <w:kern w:val="21"/>
          <w:szCs w:val="24"/>
        </w:rPr>
        <w:t>组成</w:t>
      </w:r>
      <w:bookmarkEnd w:id="217"/>
    </w:p>
    <w:p w14:paraId="765537A1">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15.1</w:t>
      </w:r>
      <w:bookmarkStart w:id="218" w:name="OLE_LINK172"/>
      <w:r>
        <w:rPr>
          <w:rFonts w:hint="eastAsia" w:hAnsi="宋体"/>
          <w:szCs w:val="21"/>
        </w:rPr>
        <w:t>供应商编写的响应文件按第四章《响应文件格式》</w:t>
      </w:r>
      <w:bookmarkEnd w:id="218"/>
      <w:r>
        <w:rPr>
          <w:rFonts w:hint="eastAsia" w:hAnsi="宋体"/>
          <w:szCs w:val="21"/>
        </w:rPr>
        <w:t>提供的格式编写</w:t>
      </w:r>
      <w:r>
        <w:rPr>
          <w:rFonts w:hint="eastAsia" w:ascii="宋体" w:hAnsi="宋体" w:cs="宋体"/>
          <w:szCs w:val="21"/>
        </w:rPr>
        <w:t>。</w:t>
      </w:r>
    </w:p>
    <w:p w14:paraId="1D94857F">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15.2</w:t>
      </w:r>
      <w:bookmarkStart w:id="219" w:name="OLE_LINK173"/>
      <w:r>
        <w:rPr>
          <w:rFonts w:hint="eastAsia" w:ascii="宋体" w:hAnsi="宋体" w:cs="宋体"/>
          <w:szCs w:val="22"/>
        </w:rPr>
        <w:t>响应描述与证明材料不一致或多份证明材料之间不一致的，造成的后果由供应商自行承担责任</w:t>
      </w:r>
      <w:bookmarkEnd w:id="219"/>
      <w:r>
        <w:rPr>
          <w:rFonts w:hint="eastAsia" w:ascii="宋体" w:hAnsi="宋体" w:cs="宋体"/>
          <w:szCs w:val="21"/>
        </w:rPr>
        <w:t>。</w:t>
      </w:r>
    </w:p>
    <w:p w14:paraId="4DFB7584">
      <w:pPr>
        <w:pStyle w:val="5"/>
        <w:spacing w:before="0" w:after="0" w:line="440" w:lineRule="exact"/>
        <w:ind w:firstLine="482"/>
        <w:jc w:val="both"/>
        <w:rPr>
          <w:rFonts w:ascii="黑体" w:hAnsi="黑体" w:eastAsia="黑体" w:cs="黑体"/>
          <w:bCs w:val="0"/>
          <w:snapToGrid w:val="0"/>
          <w:kern w:val="21"/>
          <w:szCs w:val="24"/>
        </w:rPr>
      </w:pPr>
      <w:bookmarkStart w:id="220" w:name="_Toc498050646"/>
      <w:bookmarkStart w:id="221" w:name="_Toc490305701"/>
      <w:bookmarkStart w:id="222" w:name="_Toc28293"/>
      <w:bookmarkStart w:id="223" w:name="_Toc428490732"/>
      <w:bookmarkStart w:id="224" w:name="_Toc86124056"/>
      <w:bookmarkStart w:id="225" w:name="_Toc462330074"/>
      <w:bookmarkStart w:id="226" w:name="_Toc327533972"/>
      <w:r>
        <w:rPr>
          <w:rFonts w:hint="eastAsia" w:ascii="黑体" w:hAnsi="黑体" w:eastAsia="黑体" w:cs="黑体"/>
          <w:bCs w:val="0"/>
          <w:snapToGrid w:val="0"/>
          <w:kern w:val="21"/>
          <w:szCs w:val="24"/>
        </w:rPr>
        <w:t>16.响应文件的</w:t>
      </w:r>
      <w:bookmarkStart w:id="227" w:name="OLE_LINK68"/>
      <w:r>
        <w:rPr>
          <w:rFonts w:hint="eastAsia" w:ascii="黑体" w:hAnsi="黑体" w:eastAsia="黑体" w:cs="黑体"/>
          <w:bCs w:val="0"/>
          <w:snapToGrid w:val="0"/>
          <w:kern w:val="21"/>
          <w:szCs w:val="24"/>
        </w:rPr>
        <w:t>格式要求</w:t>
      </w:r>
      <w:bookmarkEnd w:id="220"/>
      <w:bookmarkEnd w:id="221"/>
      <w:bookmarkEnd w:id="222"/>
      <w:bookmarkEnd w:id="227"/>
    </w:p>
    <w:p w14:paraId="61BB6BFE">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16.1</w:t>
      </w:r>
      <w:bookmarkStart w:id="228" w:name="OLE_LINK174"/>
      <w:r>
        <w:rPr>
          <w:rFonts w:hint="eastAsia" w:hAnsi="宋体"/>
          <w:szCs w:val="21"/>
        </w:rPr>
        <w:t>供应商应按第四章《响应文件格式》提供的格式完整地填写</w:t>
      </w:r>
      <w:bookmarkEnd w:id="228"/>
      <w:r>
        <w:rPr>
          <w:rFonts w:hint="eastAsia" w:ascii="宋体" w:hAnsi="宋体" w:cs="宋体"/>
          <w:szCs w:val="21"/>
        </w:rPr>
        <w:t>。</w:t>
      </w:r>
    </w:p>
    <w:p w14:paraId="1B0575DD">
      <w:pPr>
        <w:pStyle w:val="5"/>
        <w:spacing w:before="0" w:after="0" w:line="440" w:lineRule="exact"/>
        <w:ind w:firstLine="482"/>
        <w:jc w:val="both"/>
        <w:rPr>
          <w:rFonts w:ascii="黑体" w:hAnsi="黑体" w:eastAsia="黑体" w:cs="黑体"/>
          <w:bCs w:val="0"/>
          <w:snapToGrid w:val="0"/>
          <w:kern w:val="21"/>
          <w:szCs w:val="24"/>
        </w:rPr>
      </w:pPr>
      <w:bookmarkStart w:id="229" w:name="_Toc490305702"/>
      <w:bookmarkStart w:id="230" w:name="_Toc21351"/>
      <w:bookmarkStart w:id="231" w:name="_Toc498050647"/>
      <w:r>
        <w:rPr>
          <w:rFonts w:hint="eastAsia" w:ascii="黑体" w:hAnsi="黑体" w:eastAsia="黑体" w:cs="黑体"/>
          <w:bCs w:val="0"/>
          <w:snapToGrid w:val="0"/>
          <w:kern w:val="21"/>
          <w:szCs w:val="24"/>
        </w:rPr>
        <w:t>17</w:t>
      </w:r>
      <w:bookmarkEnd w:id="229"/>
      <w:r>
        <w:rPr>
          <w:rFonts w:hint="eastAsia" w:ascii="黑体" w:hAnsi="黑体" w:eastAsia="黑体" w:cs="黑体"/>
          <w:bCs w:val="0"/>
          <w:snapToGrid w:val="0"/>
          <w:kern w:val="21"/>
          <w:szCs w:val="24"/>
        </w:rPr>
        <w:t>.响应文</w:t>
      </w:r>
      <w:bookmarkStart w:id="232" w:name="OLE_LINK69"/>
      <w:r>
        <w:rPr>
          <w:rFonts w:hint="eastAsia" w:ascii="黑体" w:hAnsi="黑体" w:eastAsia="黑体" w:cs="黑体"/>
          <w:bCs w:val="0"/>
          <w:snapToGrid w:val="0"/>
          <w:kern w:val="21"/>
          <w:szCs w:val="24"/>
        </w:rPr>
        <w:t>件有效期</w:t>
      </w:r>
      <w:bookmarkEnd w:id="230"/>
      <w:bookmarkEnd w:id="231"/>
      <w:bookmarkEnd w:id="232"/>
    </w:p>
    <w:p w14:paraId="24BE24FA">
      <w:pPr>
        <w:autoSpaceDE w:val="0"/>
        <w:autoSpaceDN w:val="0"/>
        <w:adjustRightInd w:val="0"/>
        <w:spacing w:line="440" w:lineRule="exact"/>
        <w:ind w:firstLine="420" w:firstLineChars="200"/>
        <w:jc w:val="left"/>
        <w:rPr>
          <w:rFonts w:ascii="宋体" w:hAnsi="宋体" w:cs="宋体"/>
          <w:szCs w:val="21"/>
        </w:rPr>
      </w:pPr>
      <w:bookmarkStart w:id="233" w:name="_Toc179632567"/>
      <w:bookmarkStart w:id="234" w:name="_Toc246996937"/>
      <w:bookmarkStart w:id="235" w:name="_Toc296602439"/>
      <w:bookmarkStart w:id="236" w:name="_Toc246996194"/>
      <w:bookmarkStart w:id="237" w:name="_Toc144974517"/>
      <w:bookmarkStart w:id="238" w:name="_Toc247085708"/>
      <w:bookmarkStart w:id="239" w:name="_Toc152045549"/>
      <w:bookmarkStart w:id="240" w:name="_Toc152042325"/>
      <w:r>
        <w:rPr>
          <w:rFonts w:hint="eastAsia" w:ascii="宋体" w:hAnsi="宋体" w:cs="宋体"/>
          <w:szCs w:val="21"/>
        </w:rPr>
        <w:t>17.1</w:t>
      </w:r>
      <w:bookmarkEnd w:id="233"/>
      <w:bookmarkEnd w:id="234"/>
      <w:bookmarkEnd w:id="235"/>
      <w:bookmarkEnd w:id="236"/>
      <w:bookmarkEnd w:id="237"/>
      <w:bookmarkEnd w:id="238"/>
      <w:bookmarkEnd w:id="239"/>
      <w:bookmarkEnd w:id="240"/>
      <w:r>
        <w:rPr>
          <w:rFonts w:hint="eastAsia" w:hAnsi="宋体"/>
          <w:szCs w:val="21"/>
        </w:rPr>
        <w:t>在《供应商须知前附表》规定的有效期内，供应商不得要求撤销或修改其响应文件</w:t>
      </w:r>
      <w:r>
        <w:rPr>
          <w:rFonts w:hint="eastAsia" w:ascii="宋体" w:hAnsi="宋体" w:cs="宋体"/>
          <w:szCs w:val="21"/>
        </w:rPr>
        <w:t>。</w:t>
      </w:r>
    </w:p>
    <w:p w14:paraId="582DC806">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17.2</w:t>
      </w:r>
      <w:r>
        <w:rPr>
          <w:rFonts w:hint="eastAsia" w:hAnsi="宋体"/>
          <w:szCs w:val="21"/>
        </w:rPr>
        <w:t>因特殊情况需要延长响应文件有效期的，采购代理机构以书面形式通知供应商延长有效期。供应商同意延长的，应相应延长其响应文件中所有内容及保证金的有效期，但不得要求或被允许修改或撤销其响应文件；供应商拒绝延长的，其响应文件失效，但供应商有权收回其保证金</w:t>
      </w:r>
      <w:r>
        <w:rPr>
          <w:rFonts w:hint="eastAsia" w:ascii="宋体" w:hAnsi="宋体" w:cs="宋体"/>
          <w:szCs w:val="21"/>
        </w:rPr>
        <w:t>。</w:t>
      </w:r>
    </w:p>
    <w:p w14:paraId="0CF371EB">
      <w:pPr>
        <w:pStyle w:val="5"/>
        <w:spacing w:before="0" w:after="0" w:line="440" w:lineRule="exact"/>
        <w:ind w:firstLine="482"/>
        <w:jc w:val="both"/>
        <w:rPr>
          <w:rFonts w:ascii="黑体" w:hAnsi="黑体" w:eastAsia="黑体" w:cs="黑体"/>
          <w:bCs w:val="0"/>
          <w:snapToGrid w:val="0"/>
          <w:kern w:val="21"/>
          <w:szCs w:val="24"/>
        </w:rPr>
      </w:pPr>
      <w:bookmarkStart w:id="241" w:name="_Toc4077"/>
      <w:bookmarkStart w:id="242" w:name="_Toc498050648"/>
      <w:bookmarkStart w:id="243" w:name="_Toc490305703"/>
      <w:r>
        <w:rPr>
          <w:rFonts w:hint="eastAsia" w:ascii="黑体" w:hAnsi="黑体" w:eastAsia="黑体" w:cs="黑体"/>
          <w:bCs w:val="0"/>
          <w:snapToGrid w:val="0"/>
          <w:kern w:val="21"/>
          <w:szCs w:val="24"/>
        </w:rPr>
        <w:t>18</w:t>
      </w:r>
      <w:bookmarkStart w:id="244" w:name="OLE_LINK72"/>
      <w:r>
        <w:rPr>
          <w:rFonts w:hint="eastAsia" w:ascii="黑体" w:hAnsi="黑体" w:eastAsia="黑体" w:cs="黑体"/>
          <w:bCs w:val="0"/>
          <w:snapToGrid w:val="0"/>
          <w:kern w:val="21"/>
          <w:szCs w:val="24"/>
        </w:rPr>
        <w:t>.保证金</w:t>
      </w:r>
      <w:bookmarkEnd w:id="241"/>
      <w:bookmarkEnd w:id="242"/>
      <w:bookmarkEnd w:id="243"/>
      <w:bookmarkEnd w:id="244"/>
    </w:p>
    <w:p w14:paraId="07CF7BE2">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w:t>
      </w:r>
      <w:bookmarkStart w:id="245" w:name="_Toc246996195"/>
      <w:bookmarkStart w:id="246" w:name="_Toc152042326"/>
      <w:bookmarkStart w:id="247" w:name="_Toc179632568"/>
      <w:bookmarkStart w:id="248" w:name="_Toc247085709"/>
      <w:bookmarkStart w:id="249" w:name="_Toc144974518"/>
      <w:bookmarkStart w:id="250" w:name="_Toc246996938"/>
      <w:bookmarkStart w:id="251" w:name="_Toc296602440"/>
      <w:bookmarkStart w:id="252" w:name="_Toc152045550"/>
      <w:r>
        <w:rPr>
          <w:rFonts w:hint="eastAsia" w:ascii="宋体" w:hAnsi="宋体" w:cs="宋体"/>
          <w:szCs w:val="21"/>
        </w:rPr>
        <w:t>8.1</w:t>
      </w:r>
      <w:bookmarkEnd w:id="245"/>
      <w:bookmarkEnd w:id="246"/>
      <w:bookmarkEnd w:id="247"/>
      <w:bookmarkEnd w:id="248"/>
      <w:bookmarkEnd w:id="249"/>
      <w:bookmarkEnd w:id="250"/>
      <w:bookmarkEnd w:id="251"/>
      <w:bookmarkEnd w:id="252"/>
      <w:bookmarkStart w:id="253" w:name="OLE_LINK175"/>
      <w:bookmarkStart w:id="254" w:name="OLE_LINK304"/>
      <w:r>
        <w:rPr>
          <w:rFonts w:hint="eastAsia" w:hAnsi="宋体"/>
          <w:szCs w:val="21"/>
        </w:rPr>
        <w:t>供应商应按《供应商须知前附表》规定的金额、形式向采购代理机构交纳保证金，保证金</w:t>
      </w:r>
      <w:r>
        <w:rPr>
          <w:rFonts w:hAnsi="宋体"/>
          <w:szCs w:val="21"/>
        </w:rPr>
        <w:t>须在</w:t>
      </w:r>
      <w:r>
        <w:rPr>
          <w:rFonts w:hint="eastAsia" w:hAnsi="宋体"/>
          <w:szCs w:val="21"/>
        </w:rPr>
        <w:t>响应文件提交截止时间前从供应商基本账户交纳</w:t>
      </w:r>
      <w:r>
        <w:rPr>
          <w:rFonts w:hAnsi="宋体"/>
          <w:szCs w:val="21"/>
        </w:rPr>
        <w:t>到</w:t>
      </w:r>
      <w:r>
        <w:rPr>
          <w:rFonts w:hint="eastAsia" w:hAnsi="宋体"/>
          <w:szCs w:val="21"/>
        </w:rPr>
        <w:t>云南中咨海外咨询有限公司</w:t>
      </w:r>
      <w:r>
        <w:rPr>
          <w:rFonts w:hAnsi="宋体"/>
          <w:szCs w:val="21"/>
        </w:rPr>
        <w:t>指定的</w:t>
      </w:r>
      <w:r>
        <w:rPr>
          <w:rFonts w:hint="eastAsia" w:hAnsi="宋体"/>
          <w:szCs w:val="21"/>
        </w:rPr>
        <w:t>账</w:t>
      </w:r>
      <w:r>
        <w:rPr>
          <w:rFonts w:hAnsi="宋体"/>
          <w:szCs w:val="21"/>
        </w:rPr>
        <w:t>户</w:t>
      </w:r>
      <w:r>
        <w:rPr>
          <w:rFonts w:hint="eastAsia" w:hAnsi="宋体"/>
          <w:szCs w:val="21"/>
        </w:rPr>
        <w:t>，供应商未按照</w:t>
      </w:r>
      <w:r>
        <w:rPr>
          <w:rFonts w:hint="eastAsia" w:ascii="宋体" w:hAnsi="宋体" w:cs="宋体"/>
          <w:szCs w:val="21"/>
        </w:rPr>
        <w:t>单一来源采购文件</w:t>
      </w:r>
      <w:r>
        <w:rPr>
          <w:rFonts w:hint="eastAsia" w:hAnsi="宋体"/>
          <w:szCs w:val="21"/>
        </w:rPr>
        <w:t>要求提交保证金的，</w:t>
      </w:r>
      <w:bookmarkEnd w:id="253"/>
      <w:r>
        <w:rPr>
          <w:rFonts w:hint="eastAsia" w:hAnsi="宋体"/>
          <w:szCs w:val="21"/>
        </w:rPr>
        <w:t>响应无效</w:t>
      </w:r>
      <w:bookmarkEnd w:id="254"/>
      <w:r>
        <w:rPr>
          <w:rFonts w:hint="eastAsia" w:ascii="宋体" w:hAnsi="宋体" w:cs="宋体"/>
          <w:szCs w:val="21"/>
        </w:rPr>
        <w:t>。</w:t>
      </w:r>
    </w:p>
    <w:p w14:paraId="2B98710A">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18.2采购代理机构在成交通知书发出后5个工作日内退还未成交供应商的保证金，成交供应商的保证金在采购合同签订后5个工作日内退还，但因供应商自身原因导致无法及时退还的除外。出现下列情形之一的，采购保证金不予退还：</w:t>
      </w:r>
    </w:p>
    <w:p w14:paraId="335ABAD8">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（1）供应商在提交响应文件截止时间后撤销响应文件的；</w:t>
      </w:r>
    </w:p>
    <w:p w14:paraId="256D9387">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（2）供应商在响应文件中提供虚假材料的；</w:t>
      </w:r>
    </w:p>
    <w:p w14:paraId="39251203">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（3）除因不可抗力或单一来源采购文件认可的情形以外，供应商不与采购人签订合同的；</w:t>
      </w:r>
    </w:p>
    <w:p w14:paraId="4D65A0D4">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（4）供应商与采购人、其他供应商或者采购代理机构恶意串通的；</w:t>
      </w:r>
    </w:p>
    <w:p w14:paraId="14703701">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（5）</w:t>
      </w:r>
      <w:bookmarkStart w:id="255" w:name="OLE_LINK73"/>
      <w:r>
        <w:rPr>
          <w:rFonts w:hint="eastAsia" w:ascii="宋体" w:hAnsi="宋体" w:cs="宋体"/>
          <w:szCs w:val="21"/>
        </w:rPr>
        <w:t>单一来源采购文件</w:t>
      </w:r>
      <w:bookmarkEnd w:id="255"/>
      <w:r>
        <w:rPr>
          <w:rFonts w:hint="eastAsia" w:ascii="宋体" w:hAnsi="宋体" w:cs="宋体"/>
          <w:szCs w:val="21"/>
        </w:rPr>
        <w:t>规定的其他情形。</w:t>
      </w:r>
    </w:p>
    <w:p w14:paraId="545862A4">
      <w:pPr>
        <w:pStyle w:val="5"/>
        <w:spacing w:before="0" w:after="0" w:line="440" w:lineRule="exact"/>
        <w:ind w:firstLine="482"/>
        <w:jc w:val="both"/>
        <w:rPr>
          <w:rFonts w:ascii="黑体" w:hAnsi="黑体" w:eastAsia="黑体" w:cs="黑体"/>
          <w:bCs w:val="0"/>
          <w:snapToGrid w:val="0"/>
          <w:kern w:val="21"/>
          <w:szCs w:val="24"/>
        </w:rPr>
      </w:pPr>
      <w:bookmarkStart w:id="256" w:name="_Toc25350"/>
      <w:bookmarkStart w:id="257" w:name="_Toc490305704"/>
      <w:bookmarkStart w:id="258" w:name="_Toc498050649"/>
      <w:r>
        <w:rPr>
          <w:rFonts w:hint="eastAsia" w:ascii="黑体" w:hAnsi="黑体" w:eastAsia="黑体" w:cs="黑体"/>
          <w:bCs w:val="0"/>
          <w:snapToGrid w:val="0"/>
          <w:kern w:val="21"/>
          <w:szCs w:val="24"/>
        </w:rPr>
        <w:t>19.响应文件的编制</w:t>
      </w:r>
      <w:bookmarkEnd w:id="256"/>
      <w:bookmarkEnd w:id="257"/>
      <w:bookmarkEnd w:id="258"/>
      <w:bookmarkStart w:id="259" w:name="_Toc296602442"/>
    </w:p>
    <w:p w14:paraId="28BF15D1">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19.1</w:t>
      </w:r>
      <w:r>
        <w:rPr>
          <w:rFonts w:hint="eastAsia" w:ascii="宋体" w:hAnsi="宋体" w:cs="宋体"/>
          <w:szCs w:val="22"/>
        </w:rPr>
        <w:t>本</w:t>
      </w:r>
      <w:bookmarkStart w:id="260" w:name="OLE_LINK178"/>
      <w:r>
        <w:rPr>
          <w:rFonts w:hint="eastAsia" w:ascii="宋体" w:hAnsi="宋体" w:cs="宋体"/>
          <w:szCs w:val="22"/>
        </w:rPr>
        <w:t>项目实行</w:t>
      </w:r>
      <w:r>
        <w:rPr>
          <w:bCs/>
        </w:rPr>
        <w:t>网上</w:t>
      </w:r>
      <w:bookmarkEnd w:id="260"/>
      <w:r>
        <w:rPr>
          <w:rFonts w:hint="eastAsia"/>
          <w:bCs/>
        </w:rPr>
        <w:t>响应</w:t>
      </w:r>
      <w:r>
        <w:rPr>
          <w:bCs/>
        </w:rPr>
        <w:t>，采用电子</w:t>
      </w:r>
      <w:r>
        <w:rPr>
          <w:rFonts w:hint="eastAsia"/>
          <w:bCs/>
        </w:rPr>
        <w:t>响应</w:t>
      </w:r>
      <w:r>
        <w:rPr>
          <w:bCs/>
        </w:rPr>
        <w:t>文件</w:t>
      </w:r>
      <w:r>
        <w:rPr>
          <w:rFonts w:hint="eastAsia"/>
          <w:bCs/>
        </w:rPr>
        <w:t>。</w:t>
      </w:r>
      <w:r>
        <w:rPr>
          <w:rFonts w:hint="eastAsia" w:ascii="宋体" w:hAnsi="宋体" w:cs="宋体"/>
          <w:szCs w:val="22"/>
        </w:rPr>
        <w:t>供应商按照采购文件规定和电子交易平台操作流程要求，参加政府采购电子化交易活动。因未完成注册、未办理CA数字证书等原因造成无法响应或响应失败的，自行承担责任</w:t>
      </w:r>
      <w:r>
        <w:rPr>
          <w:rFonts w:hint="eastAsia" w:ascii="宋体" w:hAnsi="宋体" w:cs="宋体"/>
          <w:szCs w:val="21"/>
        </w:rPr>
        <w:t>。</w:t>
      </w:r>
      <w:bookmarkEnd w:id="259"/>
    </w:p>
    <w:p w14:paraId="4F6AC888">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19.2</w:t>
      </w:r>
      <w:r>
        <w:rPr>
          <w:rFonts w:hint="eastAsia" w:ascii="宋体" w:hAnsi="宋体" w:cs="宋体"/>
        </w:rPr>
        <w:t>供应商将政采云电子交易客户端下载、安装完成后，可通过账号密码或CA登录客户端进行响应文件的制作。在使用政采云投标客户端时，建议使用WIN7（64位）及以上操作系统。客户端请至政府采购云平台网站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w:t>
      </w:r>
      <w:r>
        <w:rPr>
          <w:rFonts w:hint="eastAsia" w:hAnsi="宋体" w:cs="宋体"/>
          <w:szCs w:val="21"/>
        </w:rPr>
        <w:t>其响应文件将不予受理</w:t>
      </w:r>
      <w:r>
        <w:rPr>
          <w:rFonts w:hint="eastAsia" w:ascii="宋体" w:hAnsi="宋体" w:cs="宋体"/>
          <w:szCs w:val="21"/>
        </w:rPr>
        <w:t>。</w:t>
      </w:r>
    </w:p>
    <w:p w14:paraId="50D20833">
      <w:pPr>
        <w:tabs>
          <w:tab w:val="left" w:pos="3150"/>
          <w:tab w:val="center" w:pos="4734"/>
        </w:tabs>
        <w:spacing w:line="360" w:lineRule="auto"/>
        <w:ind w:firstLine="420" w:firstLineChars="200"/>
        <w:jc w:val="left"/>
        <w:rPr>
          <w:rFonts w:ascii="宋体" w:hAnsi="宋体" w:cs="宋体"/>
          <w:szCs w:val="21"/>
        </w:rPr>
      </w:pPr>
      <w:r>
        <w:rPr>
          <w:rFonts w:hint="eastAsia" w:ascii="宋体" w:hAnsi="宋体" w:cs="宋体"/>
          <w:szCs w:val="21"/>
        </w:rPr>
        <w:t>19.3</w:t>
      </w:r>
      <w:r>
        <w:rPr>
          <w:rFonts w:hint="eastAsia" w:ascii="宋体" w:hAnsi="宋体" w:cs="宋体"/>
        </w:rPr>
        <w:t>响应文件中提供的资料（包括扫描件、照片等）、关键内容必须清晰可辨，若出现字迹潦草、表达不清、未按要求填写而导致非唯一理解产生的后果由供应商自行承担</w:t>
      </w:r>
      <w:r>
        <w:rPr>
          <w:rFonts w:hint="eastAsia" w:ascii="宋体" w:hAnsi="宋体" w:cs="宋体"/>
          <w:szCs w:val="21"/>
        </w:rPr>
        <w:t>。</w:t>
      </w:r>
    </w:p>
    <w:p w14:paraId="363B6164">
      <w:pPr>
        <w:tabs>
          <w:tab w:val="left" w:pos="3150"/>
          <w:tab w:val="center" w:pos="4734"/>
        </w:tabs>
        <w:spacing w:line="360" w:lineRule="auto"/>
        <w:ind w:firstLine="420" w:firstLineChars="200"/>
        <w:jc w:val="left"/>
        <w:rPr>
          <w:rFonts w:ascii="宋体" w:hAnsi="宋体" w:cs="宋体"/>
          <w:szCs w:val="21"/>
        </w:rPr>
      </w:pPr>
      <w:r>
        <w:rPr>
          <w:rFonts w:hint="eastAsia" w:ascii="宋体" w:hAnsi="宋体" w:cs="宋体"/>
          <w:szCs w:val="21"/>
        </w:rPr>
        <w:t>19.4响应文件盖章及签署：详见《供应商须知前附表》。</w:t>
      </w:r>
    </w:p>
    <w:p w14:paraId="3897D5E9">
      <w:pPr>
        <w:pStyle w:val="5"/>
        <w:spacing w:before="0" w:after="0" w:line="440" w:lineRule="exact"/>
        <w:ind w:firstLine="482"/>
        <w:jc w:val="both"/>
        <w:rPr>
          <w:rFonts w:ascii="黑体" w:hAnsi="黑体" w:eastAsia="黑体" w:cs="黑体"/>
          <w:bCs w:val="0"/>
          <w:snapToGrid w:val="0"/>
          <w:kern w:val="21"/>
          <w:szCs w:val="24"/>
        </w:rPr>
      </w:pPr>
      <w:bookmarkStart w:id="261" w:name="_Toc12590"/>
      <w:bookmarkStart w:id="262" w:name="_Toc490305705"/>
      <w:bookmarkStart w:id="263" w:name="_Toc498050650"/>
      <w:r>
        <w:rPr>
          <w:rFonts w:hint="eastAsia" w:ascii="黑体" w:hAnsi="黑体" w:eastAsia="黑体" w:cs="黑体"/>
          <w:bCs w:val="0"/>
          <w:snapToGrid w:val="0"/>
          <w:kern w:val="21"/>
          <w:szCs w:val="24"/>
        </w:rPr>
        <w:t>20.报价和报价货币</w:t>
      </w:r>
      <w:bookmarkEnd w:id="261"/>
      <w:bookmarkEnd w:id="262"/>
      <w:bookmarkEnd w:id="263"/>
      <w:bookmarkStart w:id="264" w:name="_Toc432106486"/>
      <w:bookmarkStart w:id="265" w:name="_Toc383175063"/>
      <w:bookmarkStart w:id="266" w:name="_Toc432194837"/>
      <w:bookmarkStart w:id="267" w:name="_Toc329810197"/>
      <w:bookmarkStart w:id="268" w:name="_Toc470507051"/>
      <w:bookmarkStart w:id="269" w:name="_Toc383175485"/>
      <w:bookmarkStart w:id="270" w:name="_Toc383175287"/>
      <w:bookmarkStart w:id="271" w:name="_Toc482343737"/>
    </w:p>
    <w:bookmarkEnd w:id="264"/>
    <w:bookmarkEnd w:id="265"/>
    <w:bookmarkEnd w:id="266"/>
    <w:bookmarkEnd w:id="267"/>
    <w:bookmarkEnd w:id="268"/>
    <w:bookmarkEnd w:id="269"/>
    <w:bookmarkEnd w:id="270"/>
    <w:bookmarkEnd w:id="271"/>
    <w:p w14:paraId="5206165E">
      <w:pPr>
        <w:spacing w:line="360" w:lineRule="auto"/>
        <w:ind w:firstLine="420" w:firstLineChars="200"/>
        <w:jc w:val="left"/>
        <w:rPr>
          <w:rFonts w:ascii="宋体" w:hAnsi="宋体" w:cs="宋体"/>
        </w:rPr>
      </w:pPr>
      <w:r>
        <w:rPr>
          <w:rFonts w:hint="eastAsia" w:ascii="宋体" w:hAnsi="宋体" w:cs="宋体"/>
        </w:rPr>
        <w:t>20.1响应报价：详见《供应商须知前附表》</w:t>
      </w:r>
      <w:r>
        <w:rPr>
          <w:rFonts w:hint="eastAsia" w:hAnsi="宋体"/>
          <w:szCs w:val="21"/>
        </w:rPr>
        <w:t>。</w:t>
      </w:r>
    </w:p>
    <w:p w14:paraId="6778A646">
      <w:pPr>
        <w:spacing w:line="360" w:lineRule="auto"/>
        <w:ind w:firstLine="420" w:firstLineChars="200"/>
        <w:rPr>
          <w:rFonts w:ascii="宋体" w:hAnsi="宋体" w:cs="宋体"/>
        </w:rPr>
      </w:pPr>
      <w:r>
        <w:rPr>
          <w:rFonts w:hint="eastAsia" w:ascii="宋体" w:hAnsi="宋体" w:cs="宋体"/>
        </w:rPr>
        <w:t>20.2供应商的报价将被视为已经包含了所有与项目相关的费用。由于供应商不清楚或存在其它任何失误所导致的任何不利后果均由供应商自行承担。</w:t>
      </w:r>
    </w:p>
    <w:p w14:paraId="0E7B324C">
      <w:pPr>
        <w:spacing w:line="360" w:lineRule="auto"/>
        <w:ind w:firstLine="420" w:firstLineChars="200"/>
        <w:jc w:val="left"/>
        <w:rPr>
          <w:rFonts w:ascii="宋体" w:hAnsi="宋体"/>
          <w:szCs w:val="21"/>
        </w:rPr>
      </w:pPr>
      <w:r>
        <w:rPr>
          <w:rFonts w:hint="eastAsia" w:ascii="宋体" w:hAnsi="宋体"/>
          <w:szCs w:val="21"/>
        </w:rPr>
        <w:t>20.3</w:t>
      </w:r>
      <w:r>
        <w:rPr>
          <w:rFonts w:hint="eastAsia" w:ascii="宋体" w:hAnsi="宋体" w:cs="宋体"/>
        </w:rPr>
        <w:t>供应商应保证其提供的货物、工程或者服务是全新的，供应商应保证其提供的货物、工程或者服务在采购人使用期间不受第三方可能提出的所有权、用益物权、担保物权、占有等一切涉及物权及知识产权、商标权、专利权、著作权等相关权利的起诉</w:t>
      </w:r>
      <w:r>
        <w:rPr>
          <w:rFonts w:hint="eastAsia" w:ascii="宋体" w:hAnsi="宋体"/>
          <w:szCs w:val="21"/>
        </w:rPr>
        <w:t>。</w:t>
      </w:r>
    </w:p>
    <w:p w14:paraId="22888591">
      <w:pPr>
        <w:spacing w:line="360" w:lineRule="auto"/>
        <w:ind w:firstLine="420" w:firstLineChars="200"/>
        <w:rPr>
          <w:rFonts w:ascii="宋体" w:hAnsi="宋体"/>
          <w:szCs w:val="21"/>
        </w:rPr>
      </w:pPr>
      <w:r>
        <w:rPr>
          <w:rFonts w:hint="eastAsia" w:ascii="宋体" w:hAnsi="宋体"/>
          <w:szCs w:val="21"/>
        </w:rPr>
        <w:t>20.</w:t>
      </w:r>
      <w:bookmarkStart w:id="272" w:name="OLE_LINK14"/>
      <w:r>
        <w:rPr>
          <w:rFonts w:hint="eastAsia" w:ascii="宋体" w:hAnsi="宋体"/>
          <w:szCs w:val="21"/>
        </w:rPr>
        <w:t>4政府采购异常低价审查：</w:t>
      </w:r>
      <w:bookmarkEnd w:id="272"/>
    </w:p>
    <w:p w14:paraId="1790448E">
      <w:pPr>
        <w:spacing w:line="360" w:lineRule="auto"/>
        <w:ind w:firstLine="420" w:firstLineChars="200"/>
        <w:rPr>
          <w:rFonts w:ascii="宋体" w:hAnsi="宋体"/>
          <w:szCs w:val="21"/>
        </w:rPr>
      </w:pPr>
      <w:r>
        <w:rPr>
          <w:rFonts w:hint="eastAsia" w:ascii="宋体" w:hAnsi="宋体"/>
          <w:szCs w:val="21"/>
        </w:rPr>
        <w:t>（1）评审中出现下列情形之一的，评审委员会应当启动异常低价投标审查程序：</w:t>
      </w:r>
    </w:p>
    <w:p w14:paraId="5929188C">
      <w:pPr>
        <w:spacing w:line="360" w:lineRule="auto"/>
        <w:ind w:firstLine="420" w:firstLineChars="200"/>
        <w:rPr>
          <w:rFonts w:ascii="宋体" w:hAnsi="宋体"/>
          <w:szCs w:val="21"/>
        </w:rPr>
      </w:pPr>
      <w:r>
        <w:rPr>
          <w:rFonts w:hint="eastAsia" w:ascii="宋体" w:hAnsi="宋体"/>
          <w:szCs w:val="21"/>
        </w:rPr>
        <w:t>①投标（响应）报价低于全部通过符合性审查供应商投标（响应）报价平均值50%的，即投标（响应）报价&lt;全部通过符合性审查供应商投标（响应）报价平均值×50%；</w:t>
      </w:r>
    </w:p>
    <w:p w14:paraId="512A7488">
      <w:pPr>
        <w:spacing w:line="360" w:lineRule="auto"/>
        <w:ind w:firstLine="420" w:firstLineChars="200"/>
        <w:rPr>
          <w:rFonts w:ascii="宋体" w:hAnsi="宋体"/>
          <w:szCs w:val="21"/>
        </w:rPr>
      </w:pPr>
      <w:r>
        <w:rPr>
          <w:rFonts w:hint="eastAsia" w:ascii="宋体" w:hAnsi="宋体"/>
          <w:szCs w:val="21"/>
        </w:rPr>
        <w:t>②投标（响应）报价低于通过符合性审查的次低报价供应商投标（响应）报价50%的，即投标（响应）报价&lt;通过符合性审查的次低报价供应商投标（响应）报价×50%；</w:t>
      </w:r>
    </w:p>
    <w:p w14:paraId="69A557EA">
      <w:pPr>
        <w:spacing w:line="360" w:lineRule="auto"/>
        <w:ind w:firstLine="420" w:firstLineChars="200"/>
        <w:rPr>
          <w:rFonts w:ascii="宋体" w:hAnsi="宋体"/>
          <w:szCs w:val="21"/>
        </w:rPr>
      </w:pPr>
      <w:r>
        <w:rPr>
          <w:rFonts w:hint="eastAsia" w:ascii="宋体" w:hAnsi="宋体"/>
          <w:szCs w:val="21"/>
        </w:rPr>
        <w:t>③投标（响应）报价低于采购项目最高限价45%的，即投标（响应）报价&lt;采购项目最高限价×45%；</w:t>
      </w:r>
    </w:p>
    <w:p w14:paraId="4ACE6BEA">
      <w:pPr>
        <w:spacing w:line="360" w:lineRule="auto"/>
        <w:ind w:firstLine="420" w:firstLineChars="200"/>
        <w:rPr>
          <w:rFonts w:ascii="宋体" w:hAnsi="宋体"/>
          <w:szCs w:val="21"/>
        </w:rPr>
      </w:pPr>
      <w:r>
        <w:rPr>
          <w:rFonts w:hint="eastAsia" w:ascii="宋体" w:hAnsi="宋体"/>
          <w:szCs w:val="21"/>
        </w:rPr>
        <w:t>④评审委员会基于专业判断，认为供应商报价过低，有可能影响产品质量或者不能诚信履约的其他情形。</w:t>
      </w:r>
    </w:p>
    <w:p w14:paraId="5685F373">
      <w:pPr>
        <w:spacing w:line="360" w:lineRule="auto"/>
        <w:ind w:firstLine="420" w:firstLineChars="200"/>
        <w:rPr>
          <w:rFonts w:ascii="宋体" w:hAnsi="宋体"/>
          <w:szCs w:val="21"/>
        </w:rPr>
      </w:pPr>
      <w:r>
        <w:rPr>
          <w:rFonts w:hint="eastAsia" w:ascii="宋体" w:hAnsi="宋体"/>
          <w:szCs w:val="21"/>
        </w:rPr>
        <w:t>相关法律法规对供应商报价有规定的，从其规定。</w:t>
      </w:r>
    </w:p>
    <w:p w14:paraId="17075893">
      <w:pPr>
        <w:spacing w:line="360" w:lineRule="auto"/>
        <w:ind w:firstLine="420" w:firstLineChars="200"/>
        <w:rPr>
          <w:rFonts w:ascii="宋体" w:hAnsi="宋体"/>
          <w:szCs w:val="21"/>
        </w:rPr>
      </w:pPr>
      <w:r>
        <w:rPr>
          <w:rFonts w:hint="eastAsia" w:ascii="宋体" w:hAnsi="宋体"/>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4CEB3887">
      <w:pPr>
        <w:spacing w:line="360" w:lineRule="auto"/>
        <w:ind w:firstLine="420" w:firstLineChars="200"/>
        <w:rPr>
          <w:rFonts w:ascii="宋体" w:hAnsi="宋体"/>
          <w:szCs w:val="21"/>
        </w:rPr>
      </w:pPr>
      <w:r>
        <w:rPr>
          <w:rFonts w:hint="eastAsia" w:ascii="宋体" w:hAnsi="宋体"/>
          <w:szCs w:val="21"/>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008427">
      <w:pPr>
        <w:spacing w:line="360" w:lineRule="auto"/>
        <w:ind w:firstLine="420" w:firstLineChars="200"/>
        <w:rPr>
          <w:rFonts w:ascii="宋体" w:hAnsi="宋体"/>
          <w:szCs w:val="21"/>
        </w:rPr>
      </w:pPr>
      <w:r>
        <w:rPr>
          <w:rFonts w:hint="eastAsia" w:ascii="宋体" w:hAnsi="宋体"/>
          <w:szCs w:val="21"/>
        </w:rPr>
        <w:t>（4）异常低价投标（响应）审查的启动原因、审查意见和审查结果应当在评审报告中记录，并随供应商提供的相关书面说明及证明材料，以及评审委员会有关互联网浏览、查询历史一并归档。</w:t>
      </w:r>
    </w:p>
    <w:p w14:paraId="6D6B0C6C">
      <w:pPr>
        <w:spacing w:line="360" w:lineRule="auto"/>
        <w:ind w:firstLine="420" w:firstLineChars="200"/>
        <w:jc w:val="left"/>
        <w:rPr>
          <w:rFonts w:ascii="宋体" w:hAnsi="宋体" w:cs="宋体"/>
        </w:rPr>
      </w:pPr>
      <w:bookmarkStart w:id="273" w:name="OLE_LINK179"/>
      <w:r>
        <w:rPr>
          <w:rFonts w:hint="eastAsia" w:ascii="宋体" w:hAnsi="宋体"/>
          <w:szCs w:val="21"/>
        </w:rPr>
        <w:t>20.5</w:t>
      </w:r>
      <w:r>
        <w:rPr>
          <w:rFonts w:hint="eastAsia" w:ascii="宋体" w:hAnsi="宋体" w:cs="宋体"/>
        </w:rPr>
        <w:t>报价货币：人民币</w:t>
      </w:r>
      <w:r>
        <w:rPr>
          <w:rFonts w:ascii="宋体" w:hAnsi="宋体"/>
          <w:szCs w:val="21"/>
        </w:rPr>
        <w:t>。</w:t>
      </w:r>
    </w:p>
    <w:bookmarkEnd w:id="223"/>
    <w:bookmarkEnd w:id="224"/>
    <w:bookmarkEnd w:id="225"/>
    <w:bookmarkEnd w:id="226"/>
    <w:bookmarkEnd w:id="273"/>
    <w:p w14:paraId="0491A701">
      <w:pPr>
        <w:pStyle w:val="4"/>
        <w:spacing w:before="0" w:after="0" w:line="440" w:lineRule="exact"/>
        <w:rPr>
          <w:rFonts w:ascii="黑体" w:hAnsi="黑体" w:eastAsia="黑体" w:cs="黑体"/>
          <w:bCs w:val="0"/>
          <w:snapToGrid w:val="0"/>
          <w:kern w:val="21"/>
          <w:szCs w:val="28"/>
        </w:rPr>
      </w:pPr>
      <w:bookmarkStart w:id="274" w:name="_Toc3084"/>
      <w:bookmarkStart w:id="275" w:name="_Toc86124061"/>
      <w:bookmarkStart w:id="276" w:name="_Toc462330078"/>
      <w:bookmarkStart w:id="277" w:name="_Toc498050651"/>
      <w:bookmarkStart w:id="278" w:name="_Toc428490736"/>
      <w:bookmarkStart w:id="279" w:name="_Toc490305706"/>
      <w:bookmarkStart w:id="280" w:name="_Toc3387"/>
      <w:r>
        <w:rPr>
          <w:rFonts w:hint="eastAsia" w:ascii="黑体" w:hAnsi="黑体" w:eastAsia="黑体" w:cs="黑体"/>
          <w:bCs w:val="0"/>
          <w:snapToGrid w:val="0"/>
          <w:kern w:val="21"/>
          <w:szCs w:val="28"/>
        </w:rPr>
        <w:t>四、</w:t>
      </w:r>
      <w:bookmarkEnd w:id="274"/>
      <w:bookmarkEnd w:id="275"/>
      <w:bookmarkEnd w:id="276"/>
      <w:bookmarkEnd w:id="277"/>
      <w:bookmarkEnd w:id="278"/>
      <w:bookmarkEnd w:id="279"/>
      <w:bookmarkEnd w:id="280"/>
      <w:r>
        <w:rPr>
          <w:rFonts w:hint="eastAsia" w:ascii="黑体" w:hAnsi="黑体" w:eastAsia="黑体" w:cs="黑体"/>
          <w:szCs w:val="28"/>
        </w:rPr>
        <w:t>提交</w:t>
      </w:r>
      <w:bookmarkStart w:id="281" w:name="OLE_LINK309"/>
      <w:r>
        <w:rPr>
          <w:rFonts w:hint="eastAsia" w:ascii="黑体" w:hAnsi="黑体" w:eastAsia="黑体" w:cs="黑体"/>
          <w:szCs w:val="28"/>
        </w:rPr>
        <w:t>电子响应文件</w:t>
      </w:r>
      <w:bookmarkEnd w:id="281"/>
    </w:p>
    <w:p w14:paraId="2728BC8D">
      <w:pPr>
        <w:pStyle w:val="5"/>
        <w:spacing w:before="0" w:after="0" w:line="440" w:lineRule="exact"/>
        <w:ind w:firstLine="482"/>
        <w:jc w:val="both"/>
        <w:rPr>
          <w:rFonts w:ascii="黑体" w:hAnsi="黑体" w:eastAsia="黑体" w:cs="黑体"/>
          <w:bCs w:val="0"/>
        </w:rPr>
      </w:pPr>
      <w:bookmarkStart w:id="282" w:name="_Toc6238"/>
      <w:bookmarkStart w:id="283" w:name="_Toc498050652"/>
      <w:bookmarkStart w:id="284" w:name="_Toc490305707"/>
      <w:r>
        <w:rPr>
          <w:rFonts w:hint="eastAsia" w:ascii="黑体" w:hAnsi="黑体" w:eastAsia="黑体" w:cs="黑体"/>
          <w:bCs w:val="0"/>
        </w:rPr>
        <w:t>21.</w:t>
      </w:r>
      <w:bookmarkEnd w:id="282"/>
      <w:bookmarkEnd w:id="283"/>
      <w:bookmarkEnd w:id="284"/>
      <w:bookmarkStart w:id="285" w:name="_Toc296602444"/>
      <w:bookmarkStart w:id="286" w:name="_Toc246996200"/>
      <w:bookmarkStart w:id="287" w:name="_Toc179632574"/>
      <w:bookmarkStart w:id="288" w:name="_Toc152042332"/>
      <w:bookmarkStart w:id="289" w:name="_Toc247085714"/>
      <w:bookmarkStart w:id="290" w:name="_Toc246996943"/>
      <w:bookmarkStart w:id="291" w:name="_Toc152045556"/>
      <w:bookmarkStart w:id="292" w:name="_Toc144974524"/>
      <w:r>
        <w:rPr>
          <w:rFonts w:hint="eastAsia" w:ascii="黑体" w:hAnsi="黑体" w:eastAsia="黑体" w:cs="黑体"/>
          <w:bCs w:val="0"/>
        </w:rPr>
        <w:t>响应文件</w:t>
      </w:r>
      <w:bookmarkStart w:id="293" w:name="OLE_LINK75"/>
      <w:r>
        <w:rPr>
          <w:rFonts w:hint="eastAsia" w:ascii="黑体" w:hAnsi="黑体" w:eastAsia="黑体" w:cs="黑体"/>
          <w:bCs w:val="0"/>
        </w:rPr>
        <w:t>的加密</w:t>
      </w:r>
      <w:bookmarkEnd w:id="293"/>
    </w:p>
    <w:p w14:paraId="354EBA8D">
      <w:pPr>
        <w:autoSpaceDE w:val="0"/>
        <w:autoSpaceDN w:val="0"/>
        <w:adjustRightInd w:val="0"/>
        <w:spacing w:line="360" w:lineRule="auto"/>
        <w:ind w:firstLine="415" w:firstLineChars="198"/>
        <w:rPr>
          <w:rFonts w:ascii="宋体" w:hAnsi="宋体" w:cs="宋体"/>
          <w:szCs w:val="21"/>
        </w:rPr>
      </w:pPr>
      <w:r>
        <w:rPr>
          <w:rFonts w:hint="eastAsia" w:ascii="宋体" w:hAnsi="宋体" w:cs="宋体"/>
          <w:szCs w:val="21"/>
        </w:rPr>
        <w:t>21.1</w:t>
      </w:r>
      <w:bookmarkEnd w:id="285"/>
      <w:bookmarkEnd w:id="286"/>
      <w:bookmarkEnd w:id="287"/>
      <w:bookmarkEnd w:id="288"/>
      <w:bookmarkEnd w:id="289"/>
      <w:bookmarkEnd w:id="290"/>
      <w:bookmarkEnd w:id="291"/>
      <w:bookmarkEnd w:id="292"/>
      <w:r>
        <w:rPr>
          <w:rFonts w:hint="eastAsia"/>
          <w:szCs w:val="21"/>
        </w:rPr>
        <w:t>供应商应按照政府采购云平台的要求编制、加密响应文件</w:t>
      </w:r>
      <w:r>
        <w:rPr>
          <w:rFonts w:hint="eastAsia" w:ascii="宋体" w:hAnsi="宋体" w:cs="宋体"/>
          <w:szCs w:val="21"/>
        </w:rPr>
        <w:t>。</w:t>
      </w:r>
    </w:p>
    <w:p w14:paraId="3B9F479E">
      <w:pPr>
        <w:autoSpaceDE w:val="0"/>
        <w:autoSpaceDN w:val="0"/>
        <w:adjustRightInd w:val="0"/>
        <w:spacing w:line="360" w:lineRule="auto"/>
        <w:ind w:firstLine="415" w:firstLineChars="198"/>
        <w:rPr>
          <w:rFonts w:ascii="宋体" w:hAnsi="宋体" w:cs="宋体"/>
          <w:szCs w:val="21"/>
        </w:rPr>
      </w:pPr>
      <w:r>
        <w:rPr>
          <w:rFonts w:hint="eastAsia" w:ascii="宋体" w:hAnsi="宋体" w:cs="宋体"/>
        </w:rPr>
        <w:t>21.2</w:t>
      </w:r>
      <w:r>
        <w:rPr>
          <w:rFonts w:hint="eastAsia" w:ascii="宋体" w:hAnsi="宋体" w:cs="宋体"/>
          <w:szCs w:val="22"/>
        </w:rPr>
        <w:t>为确保网上操作合法、有效和安全，</w:t>
      </w:r>
      <w:r>
        <w:rPr>
          <w:rFonts w:hint="eastAsia"/>
          <w:szCs w:val="21"/>
        </w:rPr>
        <w:t>供应商</w:t>
      </w:r>
      <w:r>
        <w:rPr>
          <w:rFonts w:hint="eastAsia" w:ascii="宋体" w:hAnsi="宋体" w:cs="宋体"/>
          <w:szCs w:val="22"/>
        </w:rPr>
        <w:t>应当在响应文件提交截止时间前完成在政府采购云平台的身份认证，确保在电子交易过程中能够对相关数据电文进行加密。</w:t>
      </w:r>
    </w:p>
    <w:p w14:paraId="08A3F303">
      <w:pPr>
        <w:pStyle w:val="5"/>
        <w:spacing w:before="0" w:after="0" w:line="440" w:lineRule="exact"/>
        <w:ind w:firstLine="482"/>
        <w:jc w:val="both"/>
        <w:rPr>
          <w:rFonts w:ascii="黑体" w:hAnsi="黑体" w:eastAsia="黑体" w:cs="黑体"/>
          <w:bCs w:val="0"/>
        </w:rPr>
      </w:pPr>
      <w:bookmarkStart w:id="294" w:name="_Toc490305708"/>
      <w:bookmarkStart w:id="295" w:name="_Toc498050653"/>
      <w:bookmarkStart w:id="296" w:name="_Toc5588"/>
      <w:r>
        <w:rPr>
          <w:rFonts w:hint="eastAsia" w:ascii="黑体" w:hAnsi="黑体" w:eastAsia="黑体" w:cs="黑体"/>
          <w:bCs w:val="0"/>
        </w:rPr>
        <w:t>22.响应</w:t>
      </w:r>
      <w:bookmarkStart w:id="297" w:name="OLE_LINK76"/>
      <w:r>
        <w:rPr>
          <w:rFonts w:hint="eastAsia" w:ascii="黑体" w:hAnsi="黑体" w:eastAsia="黑体" w:cs="黑体"/>
          <w:bCs w:val="0"/>
        </w:rPr>
        <w:t>文件的提交</w:t>
      </w:r>
      <w:bookmarkEnd w:id="294"/>
      <w:bookmarkEnd w:id="295"/>
      <w:bookmarkEnd w:id="296"/>
      <w:bookmarkEnd w:id="297"/>
    </w:p>
    <w:p w14:paraId="20E2691D">
      <w:pPr>
        <w:autoSpaceDE w:val="0"/>
        <w:autoSpaceDN w:val="0"/>
        <w:adjustRightInd w:val="0"/>
        <w:spacing w:line="440" w:lineRule="exact"/>
        <w:ind w:firstLine="420" w:firstLineChars="200"/>
        <w:jc w:val="left"/>
        <w:rPr>
          <w:rFonts w:ascii="宋体" w:hAnsi="宋体" w:cs="宋体"/>
          <w:szCs w:val="21"/>
        </w:rPr>
      </w:pPr>
      <w:bookmarkStart w:id="298" w:name="_Toc296602445"/>
      <w:r>
        <w:rPr>
          <w:rFonts w:hint="eastAsia" w:ascii="宋体" w:hAnsi="宋体" w:cs="宋体"/>
          <w:szCs w:val="21"/>
        </w:rPr>
        <w:t>22.1</w:t>
      </w:r>
      <w:bookmarkEnd w:id="298"/>
      <w:bookmarkStart w:id="299" w:name="OLE_LINK183"/>
      <w:r>
        <w:rPr>
          <w:rFonts w:hint="eastAsia" w:hAnsi="宋体" w:cs="宋体"/>
          <w:szCs w:val="21"/>
        </w:rPr>
        <w:t>响应文件提交截止时间、</w:t>
      </w:r>
      <w:bookmarkStart w:id="300" w:name="OLE_LINK182"/>
      <w:r>
        <w:rPr>
          <w:rFonts w:hint="eastAsia" w:hAnsi="宋体" w:cs="宋体"/>
          <w:szCs w:val="21"/>
        </w:rPr>
        <w:t>响应文件</w:t>
      </w:r>
      <w:bookmarkEnd w:id="300"/>
      <w:r>
        <w:rPr>
          <w:rFonts w:hint="eastAsia" w:hAnsi="宋体" w:cs="宋体"/>
          <w:szCs w:val="21"/>
        </w:rPr>
        <w:t>提交的地点：详见《供应商须知前附表</w:t>
      </w:r>
      <w:bookmarkEnd w:id="299"/>
      <w:r>
        <w:rPr>
          <w:rFonts w:hint="eastAsia" w:hAnsi="宋体" w:cs="宋体"/>
          <w:szCs w:val="21"/>
        </w:rPr>
        <w:t>》</w:t>
      </w:r>
      <w:r>
        <w:rPr>
          <w:rFonts w:hint="eastAsia" w:ascii="宋体" w:hAnsi="宋体" w:cs="宋体"/>
          <w:szCs w:val="21"/>
        </w:rPr>
        <w:t>。</w:t>
      </w:r>
    </w:p>
    <w:p w14:paraId="132A58D2">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22.2</w:t>
      </w:r>
      <w:bookmarkStart w:id="301" w:name="OLE_LINK184"/>
      <w:r>
        <w:rPr>
          <w:rFonts w:hint="eastAsia" w:ascii="宋体" w:hAnsi="宋体" w:cs="宋体"/>
        </w:rPr>
        <w:t>本项目采用电子采购，</w:t>
      </w:r>
      <w:r>
        <w:rPr>
          <w:rFonts w:hint="eastAsia" w:hAnsi="宋体" w:cs="宋体"/>
          <w:szCs w:val="21"/>
        </w:rPr>
        <w:t>供应商应按照本项目采购文件和政府采购云平台的要求编制、加密后在响应文件提交截止时间前上传至</w:t>
      </w:r>
      <w:r>
        <w:rPr>
          <w:rFonts w:hint="eastAsia" w:ascii="宋体" w:hAnsi="宋体" w:cs="宋体"/>
        </w:rPr>
        <w:t>政府采购云平台</w:t>
      </w:r>
      <w:r>
        <w:rPr>
          <w:rFonts w:hint="eastAsia" w:hAnsi="宋体" w:cs="宋体"/>
          <w:szCs w:val="21"/>
        </w:rPr>
        <w:t>，响应文件提交截止时间前未完成响应文件上传的，视为撤回响应文件。供应商在</w:t>
      </w:r>
      <w:r>
        <w:rPr>
          <w:rFonts w:hint="eastAsia" w:ascii="宋体" w:hAnsi="宋体" w:cs="宋体"/>
        </w:rPr>
        <w:t>政府采购云平台</w:t>
      </w:r>
      <w:r>
        <w:rPr>
          <w:rFonts w:hint="eastAsia" w:hAnsi="宋体" w:cs="宋体"/>
          <w:szCs w:val="21"/>
        </w:rPr>
        <w:t>提交电子版响应文件时，请填写参加远程采购活动经办人联系方式</w:t>
      </w:r>
      <w:bookmarkEnd w:id="301"/>
      <w:r>
        <w:rPr>
          <w:rFonts w:hint="eastAsia" w:ascii="宋体" w:hAnsi="宋体" w:cs="宋体"/>
          <w:szCs w:val="21"/>
        </w:rPr>
        <w:t>。</w:t>
      </w:r>
    </w:p>
    <w:p w14:paraId="36C6F338">
      <w:pPr>
        <w:pStyle w:val="5"/>
        <w:spacing w:before="0" w:after="0" w:line="440" w:lineRule="exact"/>
        <w:ind w:firstLine="482"/>
        <w:jc w:val="both"/>
        <w:rPr>
          <w:rFonts w:ascii="黑体" w:hAnsi="黑体" w:eastAsia="黑体" w:cs="黑体"/>
          <w:bCs w:val="0"/>
        </w:rPr>
      </w:pPr>
      <w:bookmarkStart w:id="302" w:name="_Toc498050654"/>
      <w:bookmarkStart w:id="303" w:name="_Toc490305709"/>
      <w:bookmarkStart w:id="304" w:name="_Toc2723"/>
      <w:r>
        <w:rPr>
          <w:rFonts w:hint="eastAsia" w:ascii="黑体" w:hAnsi="黑体" w:eastAsia="黑体" w:cs="黑体"/>
          <w:bCs w:val="0"/>
        </w:rPr>
        <w:t>23.响应文件的补充、</w:t>
      </w:r>
      <w:bookmarkStart w:id="305" w:name="_Toc152045558"/>
      <w:bookmarkStart w:id="306" w:name="_Toc247085716"/>
      <w:bookmarkStart w:id="307" w:name="_Toc179632576"/>
      <w:bookmarkStart w:id="308" w:name="_Toc152042334"/>
      <w:bookmarkStart w:id="309" w:name="_Toc246996945"/>
      <w:bookmarkStart w:id="310" w:name="_Toc296602446"/>
      <w:bookmarkStart w:id="311" w:name="_Toc246996202"/>
      <w:bookmarkStart w:id="312" w:name="_Toc144974526"/>
      <w:r>
        <w:rPr>
          <w:rFonts w:hint="eastAsia" w:ascii="黑体" w:hAnsi="黑体" w:eastAsia="黑体" w:cs="黑体"/>
          <w:bCs w:val="0"/>
        </w:rPr>
        <w:t>修改或者撤回</w:t>
      </w:r>
      <w:bookmarkEnd w:id="302"/>
      <w:bookmarkEnd w:id="303"/>
      <w:bookmarkEnd w:id="304"/>
    </w:p>
    <w:p w14:paraId="470F1FAC">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23</w:t>
      </w:r>
      <w:bookmarkEnd w:id="305"/>
      <w:bookmarkEnd w:id="306"/>
      <w:bookmarkEnd w:id="307"/>
      <w:bookmarkEnd w:id="308"/>
      <w:bookmarkEnd w:id="309"/>
      <w:bookmarkEnd w:id="310"/>
      <w:bookmarkEnd w:id="311"/>
      <w:bookmarkEnd w:id="312"/>
      <w:r>
        <w:rPr>
          <w:rFonts w:hint="eastAsia" w:ascii="宋体" w:hAnsi="宋体" w:cs="宋体"/>
          <w:szCs w:val="21"/>
        </w:rPr>
        <w:t>.1</w:t>
      </w:r>
      <w:r>
        <w:rPr>
          <w:rFonts w:ascii="宋体" w:hAnsi="宋体" w:cs="宋体"/>
        </w:rPr>
        <w:t>在提交</w:t>
      </w:r>
      <w:r>
        <w:rPr>
          <w:rFonts w:hint="eastAsia" w:ascii="宋体" w:hAnsi="宋体" w:cs="宋体"/>
        </w:rPr>
        <w:t>响应</w:t>
      </w:r>
      <w:r>
        <w:rPr>
          <w:rFonts w:ascii="宋体" w:hAnsi="宋体" w:cs="宋体"/>
        </w:rPr>
        <w:t>文件截止时间前，</w:t>
      </w:r>
      <w:r>
        <w:rPr>
          <w:rFonts w:hint="eastAsia" w:ascii="宋体" w:hAnsi="宋体" w:cs="宋体"/>
        </w:rPr>
        <w:t>供应商</w:t>
      </w:r>
      <w:r>
        <w:rPr>
          <w:rFonts w:ascii="宋体" w:hAnsi="宋体" w:cs="宋体"/>
        </w:rPr>
        <w:t>可以</w:t>
      </w:r>
      <w:r>
        <w:rPr>
          <w:rFonts w:hint="eastAsia" w:ascii="宋体" w:hAnsi="宋体" w:cs="宋体"/>
        </w:rPr>
        <w:t>对所提交的响应文件进行</w:t>
      </w:r>
      <w:r>
        <w:rPr>
          <w:rFonts w:ascii="宋体" w:hAnsi="宋体" w:cs="宋体"/>
        </w:rPr>
        <w:t>补充、修改或者撤回</w:t>
      </w:r>
      <w:r>
        <w:rPr>
          <w:rFonts w:hint="eastAsia" w:ascii="宋体" w:hAnsi="宋体" w:cs="宋体"/>
        </w:rPr>
        <w:t>，</w:t>
      </w:r>
      <w:r>
        <w:rPr>
          <w:rFonts w:hint="eastAsia" w:ascii="宋体" w:hAnsi="宋体" w:cs="宋体"/>
          <w:szCs w:val="21"/>
        </w:rPr>
        <w:t>补充、修改的内容应当按照单一来源采购文件要求签名、签章，作为响应文件的组成部分。补充、修改的内容与响应文件不一致的，以补充、修改的内容为准</w:t>
      </w:r>
      <w:r>
        <w:rPr>
          <w:rFonts w:hint="eastAsia" w:ascii="宋体" w:cs="宋体"/>
          <w:szCs w:val="21"/>
        </w:rPr>
        <w:t>。</w:t>
      </w:r>
    </w:p>
    <w:p w14:paraId="19BBE31D">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 xml:space="preserve">23.2 </w:t>
      </w:r>
      <w:r>
        <w:rPr>
          <w:rFonts w:hint="eastAsia" w:ascii="宋体" w:hAnsi="宋体" w:cs="宋体"/>
        </w:rPr>
        <w:t>供应商</w:t>
      </w:r>
      <w:r>
        <w:rPr>
          <w:rFonts w:hint="eastAsia" w:ascii="宋体" w:hAnsi="宋体" w:cs="宋体"/>
          <w:szCs w:val="21"/>
        </w:rPr>
        <w:t>应按照本项目单一来源采购文件和政府采购云平台的要求编制、加密后在响应文件提交截止时间前重新上传至政府采购云平台，响应文件提交截止时间前未完成响应文件上传的，视为撤回响应文件。</w:t>
      </w:r>
    </w:p>
    <w:p w14:paraId="78843641">
      <w:pPr>
        <w:tabs>
          <w:tab w:val="left" w:pos="3150"/>
          <w:tab w:val="center" w:pos="4734"/>
        </w:tabs>
        <w:spacing w:line="360" w:lineRule="auto"/>
        <w:ind w:firstLine="280" w:firstLineChars="100"/>
        <w:jc w:val="center"/>
        <w:outlineLvl w:val="1"/>
        <w:rPr>
          <w:rFonts w:ascii="黑体" w:hAnsi="黑体" w:eastAsia="黑体" w:cs="黑体"/>
          <w:b/>
          <w:sz w:val="28"/>
          <w:szCs w:val="28"/>
        </w:rPr>
      </w:pPr>
      <w:bookmarkStart w:id="313" w:name="_Toc498050655"/>
      <w:bookmarkStart w:id="314" w:name="_Toc10066"/>
      <w:bookmarkStart w:id="315" w:name="_Toc462330081"/>
      <w:bookmarkStart w:id="316" w:name="_Toc490305710"/>
      <w:bookmarkStart w:id="317" w:name="_Toc428490739"/>
      <w:bookmarkStart w:id="318" w:name="_Toc86124064"/>
      <w:bookmarkStart w:id="319" w:name="_Toc7069"/>
      <w:r>
        <w:rPr>
          <w:rFonts w:hint="eastAsia" w:ascii="黑体" w:hAnsi="黑体" w:eastAsia="黑体" w:cs="黑体"/>
          <w:b/>
          <w:sz w:val="28"/>
          <w:szCs w:val="28"/>
        </w:rPr>
        <w:t>五、响应文件开启</w:t>
      </w:r>
      <w:bookmarkStart w:id="320" w:name="OLE_LINK78"/>
      <w:r>
        <w:rPr>
          <w:rFonts w:hint="eastAsia" w:ascii="黑体" w:hAnsi="黑体" w:eastAsia="黑体" w:cs="黑体"/>
          <w:b/>
          <w:sz w:val="28"/>
          <w:szCs w:val="28"/>
        </w:rPr>
        <w:t>及响应文件</w:t>
      </w:r>
      <w:bookmarkEnd w:id="320"/>
      <w:r>
        <w:rPr>
          <w:rFonts w:hint="eastAsia" w:ascii="黑体" w:hAnsi="黑体" w:eastAsia="黑体" w:cs="黑体"/>
          <w:b/>
          <w:sz w:val="28"/>
          <w:szCs w:val="28"/>
        </w:rPr>
        <w:t>解密</w:t>
      </w:r>
    </w:p>
    <w:p w14:paraId="66C52C16">
      <w:pPr>
        <w:tabs>
          <w:tab w:val="left" w:pos="3150"/>
          <w:tab w:val="center" w:pos="4734"/>
        </w:tabs>
        <w:spacing w:line="500" w:lineRule="exact"/>
        <w:ind w:firstLine="480" w:firstLineChars="200"/>
        <w:jc w:val="left"/>
        <w:outlineLvl w:val="2"/>
        <w:rPr>
          <w:rFonts w:ascii="宋体" w:hAnsi="宋体"/>
          <w:szCs w:val="21"/>
        </w:rPr>
      </w:pPr>
      <w:r>
        <w:rPr>
          <w:rFonts w:hint="eastAsia" w:ascii="黑体" w:hAnsi="黑体" w:eastAsia="黑体" w:cs="黑体"/>
          <w:b/>
          <w:sz w:val="24"/>
        </w:rPr>
        <w:t>24.响应文件的开启</w:t>
      </w:r>
    </w:p>
    <w:p w14:paraId="3A936DEB">
      <w:pPr>
        <w:spacing w:line="360" w:lineRule="auto"/>
        <w:ind w:firstLine="420"/>
        <w:rPr>
          <w:rFonts w:ascii="宋体" w:hAnsi="宋体"/>
          <w:szCs w:val="21"/>
        </w:rPr>
      </w:pPr>
      <w:r>
        <w:rPr>
          <w:rFonts w:hint="eastAsia" w:ascii="宋体" w:hAnsi="宋体"/>
          <w:szCs w:val="21"/>
        </w:rPr>
        <w:t>24.1供应商在响应文件开启前应确保成为政府采购云平台供应商，并完成CA数字证书申领。因未注册入库、未办理CA数字证书等原因造成无法响应或响应失败等后果由供应商自行承担</w:t>
      </w:r>
    </w:p>
    <w:p w14:paraId="4BD8D535">
      <w:pPr>
        <w:spacing w:line="360" w:lineRule="auto"/>
        <w:ind w:firstLine="420"/>
        <w:rPr>
          <w:rFonts w:ascii="宋体" w:hAnsi="宋体"/>
          <w:szCs w:val="21"/>
        </w:rPr>
      </w:pPr>
      <w:r>
        <w:rPr>
          <w:rFonts w:hint="eastAsia" w:ascii="宋体" w:hAnsi="宋体"/>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《供应商须知前附表》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开启</w:t>
      </w:r>
      <w:r>
        <w:rPr>
          <w:rFonts w:hint="eastAsia" w:ascii="宋体" w:hAnsi="宋体"/>
          <w:szCs w:val="21"/>
        </w:rPr>
        <w:t>。</w:t>
      </w:r>
    </w:p>
    <w:p w14:paraId="280FCDAF">
      <w:pPr>
        <w:tabs>
          <w:tab w:val="left" w:pos="3150"/>
          <w:tab w:val="center" w:pos="4734"/>
        </w:tabs>
        <w:spacing w:line="500" w:lineRule="exact"/>
        <w:ind w:firstLine="480" w:firstLineChars="200"/>
        <w:jc w:val="left"/>
        <w:outlineLvl w:val="2"/>
        <w:rPr>
          <w:rFonts w:ascii="宋体" w:hAnsi="宋体" w:cs="宋体"/>
          <w:szCs w:val="21"/>
        </w:rPr>
      </w:pPr>
      <w:r>
        <w:rPr>
          <w:rFonts w:hint="eastAsia" w:ascii="黑体" w:hAnsi="黑体" w:eastAsia="黑体" w:cs="黑体"/>
          <w:b/>
          <w:sz w:val="24"/>
        </w:rPr>
        <w:t>25.响</w:t>
      </w:r>
      <w:bookmarkStart w:id="321" w:name="OLE_LINK79"/>
      <w:r>
        <w:rPr>
          <w:rFonts w:hint="eastAsia" w:ascii="黑体" w:hAnsi="黑体" w:eastAsia="黑体" w:cs="黑体"/>
          <w:b/>
          <w:sz w:val="24"/>
        </w:rPr>
        <w:t>应文件的解</w:t>
      </w:r>
      <w:bookmarkEnd w:id="321"/>
      <w:r>
        <w:rPr>
          <w:rFonts w:hint="eastAsia" w:ascii="黑体" w:hAnsi="黑体" w:eastAsia="黑体" w:cs="黑体"/>
          <w:b/>
          <w:sz w:val="24"/>
        </w:rPr>
        <w:t>密</w:t>
      </w:r>
    </w:p>
    <w:p w14:paraId="2704669D">
      <w:pPr>
        <w:spacing w:line="360" w:lineRule="auto"/>
        <w:ind w:firstLine="420"/>
        <w:rPr>
          <w:rFonts w:ascii="宋体" w:hAnsi="宋体" w:cs="宋体"/>
          <w:szCs w:val="21"/>
        </w:rPr>
      </w:pPr>
      <w:r>
        <w:rPr>
          <w:rFonts w:hint="eastAsia" w:ascii="宋体" w:hAnsi="宋体" w:cs="宋体"/>
          <w:szCs w:val="21"/>
        </w:rPr>
        <w:t>25.1响应文件开启时，</w:t>
      </w:r>
      <w:r>
        <w:rPr>
          <w:rFonts w:hint="eastAsia" w:ascii="宋体" w:hAnsi="宋体"/>
          <w:szCs w:val="21"/>
        </w:rPr>
        <w:t>供应商</w:t>
      </w:r>
      <w:r>
        <w:rPr>
          <w:rFonts w:hint="eastAsia" w:ascii="宋体" w:hAnsi="宋体" w:cs="宋体"/>
          <w:szCs w:val="21"/>
        </w:rPr>
        <w:t>登录政府采购云平台完成远程解密、查看开标一览表等相关操作。本项目解密时间会在政采云系统显示，若</w:t>
      </w:r>
      <w:r>
        <w:rPr>
          <w:rFonts w:hint="eastAsia" w:ascii="宋体" w:hAnsi="宋体"/>
          <w:szCs w:val="21"/>
        </w:rPr>
        <w:t>供应商</w:t>
      </w:r>
      <w:r>
        <w:rPr>
          <w:rFonts w:hint="eastAsia" w:ascii="宋体" w:hAnsi="宋体" w:cs="宋体"/>
          <w:szCs w:val="21"/>
        </w:rPr>
        <w:t>未在规定时间完成所有响应文件解密，则视为无效响应，不再进入协商阶段。</w:t>
      </w:r>
    </w:p>
    <w:p w14:paraId="040F5438">
      <w:pPr>
        <w:spacing w:line="360" w:lineRule="auto"/>
        <w:ind w:firstLine="420" w:firstLineChars="200"/>
        <w:rPr>
          <w:rFonts w:ascii="宋体" w:hAnsi="宋体" w:cs="宋体"/>
          <w:szCs w:val="21"/>
        </w:rPr>
      </w:pPr>
      <w:r>
        <w:rPr>
          <w:rFonts w:hint="eastAsia" w:ascii="宋体" w:hAnsi="宋体" w:cs="宋体"/>
          <w:szCs w:val="21"/>
        </w:rPr>
        <w:t>25.1电子响应文件解密：采购代理机构依托电子交易平台发起开始解密指令，供应商须使用加密时所用的 CA 锁按平台提示和单一来源采购文件的规定登录到政府采购云平台电子开标大厅，并在发起解密指令之时起30分钟内完成对电子响应文件在线解密。</w:t>
      </w:r>
    </w:p>
    <w:p w14:paraId="6FBA3CDF">
      <w:pPr>
        <w:pStyle w:val="4"/>
        <w:spacing w:before="0" w:after="0" w:line="440" w:lineRule="exact"/>
        <w:rPr>
          <w:rFonts w:ascii="黑体" w:hAnsi="黑体" w:eastAsia="黑体" w:cs="黑体"/>
          <w:bCs w:val="0"/>
          <w:szCs w:val="28"/>
        </w:rPr>
      </w:pPr>
      <w:r>
        <w:rPr>
          <w:rFonts w:hint="eastAsia" w:ascii="黑体" w:hAnsi="黑体" w:eastAsia="黑体" w:cs="黑体"/>
          <w:bCs w:val="0"/>
          <w:szCs w:val="28"/>
        </w:rPr>
        <w:t>六、</w:t>
      </w:r>
      <w:bookmarkEnd w:id="313"/>
      <w:bookmarkEnd w:id="314"/>
      <w:bookmarkEnd w:id="315"/>
      <w:bookmarkEnd w:id="316"/>
      <w:bookmarkEnd w:id="317"/>
      <w:bookmarkEnd w:id="318"/>
      <w:bookmarkEnd w:id="319"/>
      <w:bookmarkStart w:id="322" w:name="OLE_LINK77"/>
      <w:r>
        <w:rPr>
          <w:rFonts w:hint="eastAsia" w:ascii="黑体" w:hAnsi="黑体" w:eastAsia="黑体" w:cs="黑体"/>
          <w:bCs w:val="0"/>
          <w:szCs w:val="28"/>
        </w:rPr>
        <w:t>协商</w:t>
      </w:r>
    </w:p>
    <w:bookmarkEnd w:id="322"/>
    <w:p w14:paraId="095E8796">
      <w:pPr>
        <w:pStyle w:val="5"/>
        <w:spacing w:before="0" w:after="0" w:line="440" w:lineRule="exact"/>
        <w:ind w:firstLine="482"/>
        <w:jc w:val="both"/>
        <w:rPr>
          <w:rFonts w:ascii="黑体" w:hAnsi="黑体" w:eastAsia="黑体" w:cs="黑体"/>
          <w:bCs w:val="0"/>
          <w:szCs w:val="24"/>
        </w:rPr>
      </w:pPr>
      <w:bookmarkStart w:id="323" w:name="_Toc22493"/>
      <w:bookmarkStart w:id="324" w:name="_Toc498050656"/>
      <w:bookmarkStart w:id="325" w:name="_Toc490305711"/>
      <w:r>
        <w:rPr>
          <w:rFonts w:hint="eastAsia" w:ascii="黑体" w:hAnsi="黑体" w:eastAsia="黑体" w:cs="黑体"/>
          <w:bCs w:val="0"/>
          <w:szCs w:val="24"/>
        </w:rPr>
        <w:t>26.</w:t>
      </w:r>
      <w:bookmarkEnd w:id="323"/>
      <w:bookmarkEnd w:id="324"/>
      <w:bookmarkEnd w:id="325"/>
      <w:bookmarkStart w:id="326" w:name="OLE_LINK80"/>
      <w:r>
        <w:rPr>
          <w:rFonts w:hint="eastAsia" w:ascii="黑体" w:hAnsi="黑体" w:eastAsia="黑体" w:cs="黑体"/>
          <w:bCs w:val="0"/>
          <w:szCs w:val="24"/>
        </w:rPr>
        <w:t>单</w:t>
      </w:r>
      <w:bookmarkStart w:id="327" w:name="OLE_LINK81"/>
      <w:r>
        <w:rPr>
          <w:rFonts w:hint="eastAsia" w:ascii="黑体" w:hAnsi="黑体" w:eastAsia="黑体" w:cs="黑体"/>
          <w:bCs w:val="0"/>
          <w:szCs w:val="24"/>
        </w:rPr>
        <w:t>一来源采购人员</w:t>
      </w:r>
      <w:bookmarkEnd w:id="326"/>
      <w:bookmarkEnd w:id="327"/>
    </w:p>
    <w:p w14:paraId="21F87556">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26.1采购代理机构将在《供应商须知前附表》规定的时间和地点进行采购，供应商的法定代表人或其委托代理人应按时参加线上协商。</w:t>
      </w:r>
    </w:p>
    <w:p w14:paraId="0CDCAE52">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26.2 采购由单一来源采购人员负责。单一来源采购人员由采购人的代表和有关技术、经济等方面的专家组成，单一来源采购人员人数应当为3人以上单数。其中，技术、经济等方面的专家不得少于单一来源采购人员总数的三分之二。单一来源采购人员应当推选组长，但采购人代表不得担任组长。</w:t>
      </w:r>
    </w:p>
    <w:p w14:paraId="580E629F">
      <w:pPr>
        <w:topLinePunct/>
        <w:autoSpaceDE w:val="0"/>
        <w:autoSpaceDN w:val="0"/>
        <w:adjustRightInd w:val="0"/>
        <w:snapToGrid w:val="0"/>
        <w:spacing w:line="360" w:lineRule="auto"/>
        <w:ind w:firstLine="480" w:firstLineChars="200"/>
        <w:outlineLvl w:val="2"/>
        <w:rPr>
          <w:rFonts w:ascii="黑体" w:hAnsi="黑体" w:eastAsia="黑体" w:cs="黑体"/>
          <w:b/>
          <w:sz w:val="24"/>
        </w:rPr>
      </w:pPr>
      <w:bookmarkStart w:id="328" w:name="_Toc490305712"/>
      <w:bookmarkStart w:id="329" w:name="_Toc428490741"/>
      <w:bookmarkStart w:id="330" w:name="_Toc327533982"/>
      <w:bookmarkStart w:id="331" w:name="_Toc498050657"/>
      <w:bookmarkStart w:id="332" w:name="_Toc86124067"/>
      <w:bookmarkStart w:id="333" w:name="_Toc2725"/>
      <w:bookmarkStart w:id="334" w:name="_Toc462330083"/>
      <w:r>
        <w:rPr>
          <w:rFonts w:hint="eastAsia" w:ascii="黑体" w:hAnsi="黑体" w:eastAsia="黑体" w:cs="黑体"/>
          <w:b/>
          <w:sz w:val="24"/>
        </w:rPr>
        <w:t>2</w:t>
      </w:r>
      <w:bookmarkStart w:id="335" w:name="OLE_LINK82"/>
      <w:r>
        <w:rPr>
          <w:rFonts w:hint="eastAsia" w:ascii="黑体" w:hAnsi="黑体" w:eastAsia="黑体" w:cs="黑体"/>
          <w:b/>
          <w:sz w:val="24"/>
        </w:rPr>
        <w:t>7</w:t>
      </w:r>
      <w:r>
        <w:rPr>
          <w:rFonts w:ascii="黑体" w:hAnsi="黑体" w:eastAsia="黑体" w:cs="黑体"/>
          <w:b/>
          <w:sz w:val="24"/>
        </w:rPr>
        <w:t>.协商</w:t>
      </w:r>
      <w:r>
        <w:rPr>
          <w:rFonts w:hint="eastAsia" w:ascii="黑体" w:hAnsi="黑体" w:eastAsia="黑体" w:cs="黑体"/>
          <w:b/>
          <w:sz w:val="24"/>
        </w:rPr>
        <w:t>过程</w:t>
      </w:r>
      <w:bookmarkEnd w:id="335"/>
    </w:p>
    <w:p w14:paraId="60EE25B4">
      <w:pPr>
        <w:topLinePunct/>
        <w:autoSpaceDE w:val="0"/>
        <w:autoSpaceDN w:val="0"/>
        <w:adjustRightInd w:val="0"/>
        <w:snapToGrid w:val="0"/>
        <w:spacing w:line="360" w:lineRule="auto"/>
        <w:ind w:firstLine="420" w:firstLineChars="200"/>
        <w:rPr>
          <w:szCs w:val="21"/>
        </w:rPr>
      </w:pPr>
      <w:r>
        <w:rPr>
          <w:rFonts w:hint="eastAsia"/>
          <w:szCs w:val="21"/>
        </w:rPr>
        <w:t>27.</w:t>
      </w:r>
      <w:r>
        <w:rPr>
          <w:szCs w:val="21"/>
        </w:rPr>
        <w:t>1单一来源采购人员所有成员应当集中与供应商进行协商。</w:t>
      </w:r>
    </w:p>
    <w:p w14:paraId="16F22E8F">
      <w:pPr>
        <w:topLinePunct/>
        <w:autoSpaceDE w:val="0"/>
        <w:autoSpaceDN w:val="0"/>
        <w:adjustRightInd w:val="0"/>
        <w:snapToGrid w:val="0"/>
        <w:spacing w:line="360" w:lineRule="auto"/>
        <w:ind w:firstLine="420" w:firstLineChars="200"/>
        <w:rPr>
          <w:szCs w:val="21"/>
        </w:rPr>
      </w:pPr>
      <w:r>
        <w:rPr>
          <w:rFonts w:hint="eastAsia"/>
          <w:szCs w:val="21"/>
        </w:rPr>
        <w:t>27</w:t>
      </w:r>
      <w:r>
        <w:rPr>
          <w:szCs w:val="21"/>
        </w:rPr>
        <w:t>.2在协商过程中，单一来源采购人员可以根据协商情况变动采购文件的内容。</w:t>
      </w:r>
    </w:p>
    <w:p w14:paraId="21FBB107">
      <w:pPr>
        <w:topLinePunct/>
        <w:autoSpaceDE w:val="0"/>
        <w:autoSpaceDN w:val="0"/>
        <w:adjustRightInd w:val="0"/>
        <w:snapToGrid w:val="0"/>
        <w:spacing w:line="360" w:lineRule="auto"/>
        <w:ind w:firstLine="420" w:firstLineChars="200"/>
        <w:rPr>
          <w:szCs w:val="21"/>
        </w:rPr>
      </w:pPr>
      <w:r>
        <w:rPr>
          <w:rFonts w:hint="eastAsia"/>
          <w:szCs w:val="21"/>
        </w:rPr>
        <w:t>27</w:t>
      </w:r>
      <w:r>
        <w:rPr>
          <w:szCs w:val="21"/>
        </w:rPr>
        <w:t>.3采购人员与供应商就合同主要条款及价格进行协商，在保证采购质量前提和项目预算范围内，确定合同主要条款及合理的成交价格。</w:t>
      </w:r>
    </w:p>
    <w:p w14:paraId="6A985A17">
      <w:pPr>
        <w:topLinePunct/>
        <w:autoSpaceDE w:val="0"/>
        <w:autoSpaceDN w:val="0"/>
        <w:adjustRightInd w:val="0"/>
        <w:snapToGrid w:val="0"/>
        <w:spacing w:line="360" w:lineRule="auto"/>
        <w:ind w:firstLine="420" w:firstLineChars="200"/>
        <w:rPr>
          <w:szCs w:val="21"/>
        </w:rPr>
      </w:pPr>
      <w:r>
        <w:rPr>
          <w:rFonts w:hint="eastAsia"/>
          <w:szCs w:val="21"/>
        </w:rPr>
        <w:t>27</w:t>
      </w:r>
      <w:r>
        <w:rPr>
          <w:szCs w:val="21"/>
        </w:rPr>
        <w:t>.4对采购文件作出的变动是采购文件的有效组成部分，单一来源采购人员应当及时以书面形式通知供应商。</w:t>
      </w:r>
    </w:p>
    <w:p w14:paraId="6FB3F73B">
      <w:pPr>
        <w:topLinePunct/>
        <w:autoSpaceDE w:val="0"/>
        <w:autoSpaceDN w:val="0"/>
        <w:adjustRightInd w:val="0"/>
        <w:snapToGrid w:val="0"/>
        <w:spacing w:line="360" w:lineRule="auto"/>
        <w:ind w:firstLine="420" w:firstLineChars="200"/>
        <w:rPr>
          <w:szCs w:val="21"/>
        </w:rPr>
      </w:pPr>
      <w:r>
        <w:rPr>
          <w:rFonts w:hint="eastAsia"/>
          <w:szCs w:val="21"/>
        </w:rPr>
        <w:t>2</w:t>
      </w:r>
      <w:r>
        <w:rPr>
          <w:szCs w:val="21"/>
        </w:rPr>
        <w:t>7.5供应商应当按照采购文件的变动情况和单一来源采购人员的要求重新提交响应文件，并由其法定代表人或授权代表签字或者加盖公章。由授权代表签字的，应当附法定代表人授权书。供应商为自然人的，应当由本人签字并附身份证明。</w:t>
      </w:r>
    </w:p>
    <w:p w14:paraId="67263B55">
      <w:pPr>
        <w:topLinePunct/>
        <w:autoSpaceDE w:val="0"/>
        <w:autoSpaceDN w:val="0"/>
        <w:adjustRightInd w:val="0"/>
        <w:snapToGrid w:val="0"/>
        <w:spacing w:line="360" w:lineRule="auto"/>
        <w:ind w:firstLine="420" w:firstLineChars="200"/>
        <w:rPr>
          <w:rFonts w:hAnsi="宋体" w:cs="宋体"/>
          <w:szCs w:val="21"/>
        </w:rPr>
      </w:pPr>
      <w:r>
        <w:rPr>
          <w:rFonts w:hint="eastAsia"/>
          <w:szCs w:val="21"/>
        </w:rPr>
        <w:t>2</w:t>
      </w:r>
      <w:r>
        <w:rPr>
          <w:szCs w:val="21"/>
        </w:rPr>
        <w:t>7.6协商后，供应商应再次提交报价。若单一来源采购人员认为供应商的报价不合理的，可多次与供应商进行价格协商，直至单一来源采购人员认为供应商的报价合理且能保证采购项目质量。</w:t>
      </w:r>
    </w:p>
    <w:p w14:paraId="0D2237B7">
      <w:pPr>
        <w:tabs>
          <w:tab w:val="left" w:pos="3150"/>
          <w:tab w:val="center" w:pos="4734"/>
        </w:tabs>
        <w:spacing w:line="500" w:lineRule="exact"/>
        <w:ind w:firstLine="480" w:firstLineChars="200"/>
        <w:jc w:val="left"/>
        <w:outlineLvl w:val="2"/>
        <w:rPr>
          <w:rFonts w:hAnsi="宋体"/>
          <w:szCs w:val="21"/>
        </w:rPr>
      </w:pPr>
      <w:r>
        <w:rPr>
          <w:rFonts w:hint="eastAsia" w:ascii="黑体" w:hAnsi="黑体" w:eastAsia="黑体" w:cs="黑体"/>
          <w:b/>
          <w:sz w:val="24"/>
        </w:rPr>
        <w:t>28.响应文件的澄清和补正原则</w:t>
      </w:r>
    </w:p>
    <w:p w14:paraId="68B02F20">
      <w:pPr>
        <w:spacing w:line="360" w:lineRule="auto"/>
        <w:ind w:firstLine="420" w:firstLineChars="200"/>
        <w:jc w:val="left"/>
        <w:rPr>
          <w:rFonts w:hAnsi="宋体"/>
          <w:szCs w:val="21"/>
        </w:rPr>
      </w:pPr>
      <w:r>
        <w:rPr>
          <w:rFonts w:hint="eastAsia" w:hAnsi="宋体"/>
          <w:szCs w:val="21"/>
        </w:rPr>
        <w:t>28.1</w:t>
      </w:r>
      <w:bookmarkStart w:id="336" w:name="OLE_LINK85"/>
      <w:r>
        <w:rPr>
          <w:rFonts w:hint="eastAsia" w:hAnsi="宋体"/>
          <w:szCs w:val="21"/>
        </w:rPr>
        <w:t>单一来源采购</w:t>
      </w:r>
      <w:bookmarkStart w:id="337" w:name="OLE_LINK83"/>
      <w:r>
        <w:rPr>
          <w:rFonts w:hint="eastAsia" w:hAnsi="宋体"/>
          <w:szCs w:val="21"/>
        </w:rPr>
        <w:t>人员</w:t>
      </w:r>
      <w:bookmarkEnd w:id="336"/>
      <w:r>
        <w:rPr>
          <w:rFonts w:hint="eastAsia" w:hAnsi="宋体"/>
          <w:szCs w:val="21"/>
        </w:rPr>
        <w:t>在对响应文件的有效性、完整性和响应程度进行审查时，可以要求供应商对响应文件中含义不明确、同类问题表述不一致或者有明显文字和计算错误的内容等作出必要的澄清、说明或者更正。供</w:t>
      </w:r>
      <w:bookmarkEnd w:id="337"/>
      <w:r>
        <w:rPr>
          <w:rFonts w:hint="eastAsia" w:hAnsi="宋体"/>
          <w:szCs w:val="21"/>
        </w:rPr>
        <w:t>应商的澄清、 说明或者更正不得超出响应文件的范围或者改变响应文件的</w:t>
      </w:r>
      <w:bookmarkStart w:id="338" w:name="OLE_LINK84"/>
      <w:r>
        <w:rPr>
          <w:rFonts w:hint="eastAsia" w:hAnsi="宋体"/>
          <w:szCs w:val="21"/>
        </w:rPr>
        <w:t>实质性内容。</w:t>
      </w:r>
    </w:p>
    <w:p w14:paraId="2E9FCBCD">
      <w:pPr>
        <w:spacing w:line="440" w:lineRule="exact"/>
        <w:ind w:firstLine="420" w:firstLineChars="200"/>
        <w:rPr>
          <w:rFonts w:hAnsi="宋体"/>
          <w:szCs w:val="21"/>
        </w:rPr>
      </w:pPr>
      <w:r>
        <w:rPr>
          <w:rFonts w:hint="eastAsia" w:hAnsi="宋体"/>
          <w:szCs w:val="21"/>
        </w:rPr>
        <w:t>28.2单一来源采购人员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bookmarkEnd w:id="328"/>
    <w:bookmarkEnd w:id="329"/>
    <w:bookmarkEnd w:id="330"/>
    <w:bookmarkEnd w:id="331"/>
    <w:bookmarkEnd w:id="332"/>
    <w:bookmarkEnd w:id="333"/>
    <w:bookmarkEnd w:id="334"/>
    <w:bookmarkEnd w:id="338"/>
    <w:p w14:paraId="73D058F3">
      <w:pPr>
        <w:tabs>
          <w:tab w:val="left" w:pos="3150"/>
          <w:tab w:val="center" w:pos="4734"/>
        </w:tabs>
        <w:spacing w:line="360" w:lineRule="auto"/>
        <w:ind w:firstLine="480" w:firstLineChars="200"/>
        <w:jc w:val="left"/>
        <w:outlineLvl w:val="2"/>
        <w:rPr>
          <w:rFonts w:hAnsi="宋体"/>
          <w:szCs w:val="21"/>
        </w:rPr>
      </w:pPr>
      <w:bookmarkStart w:id="339" w:name="_Toc86124068"/>
      <w:bookmarkStart w:id="340" w:name="_Toc490305713"/>
      <w:bookmarkStart w:id="341" w:name="_Toc327533983"/>
      <w:bookmarkStart w:id="342" w:name="_Toc498050658"/>
      <w:bookmarkStart w:id="343" w:name="_Toc428490742"/>
      <w:bookmarkStart w:id="344" w:name="_Toc462330084"/>
      <w:bookmarkStart w:id="345" w:name="OLE_LINK191"/>
      <w:bookmarkStart w:id="346" w:name="_Toc23687"/>
      <w:r>
        <w:rPr>
          <w:rFonts w:hint="eastAsia" w:ascii="黑体" w:hAnsi="黑体" w:eastAsia="黑体" w:cs="黑体"/>
          <w:b/>
          <w:sz w:val="24"/>
        </w:rPr>
        <w:t>29</w:t>
      </w:r>
      <w:bookmarkStart w:id="347" w:name="OLE_LINK86"/>
      <w:r>
        <w:rPr>
          <w:rFonts w:hint="eastAsia" w:ascii="黑体" w:hAnsi="黑体" w:eastAsia="黑体" w:cs="黑体"/>
          <w:b/>
          <w:sz w:val="24"/>
        </w:rPr>
        <w:t>.协商终止</w:t>
      </w:r>
      <w:bookmarkEnd w:id="347"/>
    </w:p>
    <w:bookmarkEnd w:id="339"/>
    <w:bookmarkEnd w:id="340"/>
    <w:bookmarkEnd w:id="341"/>
    <w:bookmarkEnd w:id="342"/>
    <w:bookmarkEnd w:id="343"/>
    <w:bookmarkEnd w:id="344"/>
    <w:bookmarkEnd w:id="345"/>
    <w:p w14:paraId="61D571C1">
      <w:pPr>
        <w:spacing w:line="440" w:lineRule="exact"/>
        <w:ind w:firstLine="420" w:firstLineChars="200"/>
        <w:rPr>
          <w:rFonts w:hAnsi="宋体" w:cs="宋体"/>
          <w:szCs w:val="21"/>
        </w:rPr>
      </w:pPr>
      <w:bookmarkStart w:id="348" w:name="OLE_LINK133"/>
      <w:r>
        <w:rPr>
          <w:rFonts w:hint="eastAsia" w:hAnsi="宋体" w:cs="宋体"/>
          <w:szCs w:val="21"/>
        </w:rPr>
        <w:t>29.1出现下列情形之一的，采购人或者采购代理机构将终止协商活动，发布项目终止公告并说明原因，重新开展采购活动：</w:t>
      </w:r>
      <w:bookmarkEnd w:id="346"/>
    </w:p>
    <w:bookmarkEnd w:id="348"/>
    <w:p w14:paraId="35E30B2A">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（1）因情况变化，不再符合规定的单一来源采购方式适用情形的；</w:t>
      </w:r>
    </w:p>
    <w:p w14:paraId="7B2C6F24">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（2）出现影响采购公正的违法、违规行为的；</w:t>
      </w:r>
    </w:p>
    <w:p w14:paraId="1C77E64E">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（3）报价超过采购预算的。</w:t>
      </w:r>
      <w:bookmarkStart w:id="349" w:name="_Toc498050659"/>
      <w:bookmarkStart w:id="350" w:name="_Toc490305714"/>
      <w:bookmarkStart w:id="351" w:name="_Toc86124069"/>
      <w:bookmarkStart w:id="352" w:name="_Toc16864"/>
      <w:bookmarkStart w:id="353" w:name="_Toc428490743"/>
      <w:bookmarkStart w:id="354" w:name="_Toc462330085"/>
      <w:bookmarkStart w:id="355" w:name="_Toc12807"/>
    </w:p>
    <w:p w14:paraId="59EC45BC">
      <w:pPr>
        <w:pStyle w:val="4"/>
        <w:spacing w:before="0" w:after="0" w:line="440" w:lineRule="exact"/>
        <w:rPr>
          <w:rFonts w:ascii="黑体" w:hAnsi="黑体" w:eastAsia="黑体" w:cs="黑体"/>
          <w:bCs w:val="0"/>
          <w:snapToGrid w:val="0"/>
          <w:kern w:val="21"/>
          <w:szCs w:val="28"/>
        </w:rPr>
      </w:pPr>
      <w:r>
        <w:rPr>
          <w:rFonts w:hint="eastAsia" w:ascii="黑体" w:hAnsi="黑体" w:eastAsia="黑体" w:cs="黑体"/>
          <w:bCs w:val="0"/>
          <w:snapToGrid w:val="0"/>
          <w:kern w:val="21"/>
          <w:szCs w:val="28"/>
        </w:rPr>
        <w:t>七、成交结果</w:t>
      </w:r>
      <w:bookmarkEnd w:id="349"/>
      <w:bookmarkEnd w:id="350"/>
      <w:bookmarkEnd w:id="351"/>
      <w:bookmarkEnd w:id="352"/>
      <w:bookmarkEnd w:id="353"/>
      <w:bookmarkEnd w:id="354"/>
      <w:bookmarkEnd w:id="355"/>
    </w:p>
    <w:p w14:paraId="3EF096F7">
      <w:pPr>
        <w:pStyle w:val="5"/>
        <w:spacing w:before="0" w:after="0" w:line="440" w:lineRule="exact"/>
        <w:ind w:firstLine="482"/>
        <w:jc w:val="both"/>
        <w:rPr>
          <w:rFonts w:ascii="黑体" w:hAnsi="黑体" w:eastAsia="黑体" w:cs="黑体"/>
          <w:bCs w:val="0"/>
          <w:szCs w:val="24"/>
        </w:rPr>
      </w:pPr>
      <w:bookmarkStart w:id="356" w:name="_Toc490305715"/>
      <w:bookmarkStart w:id="357" w:name="_Toc327533985"/>
      <w:bookmarkStart w:id="358" w:name="_Toc428490744"/>
      <w:bookmarkStart w:id="359" w:name="_Toc462330086"/>
      <w:bookmarkStart w:id="360" w:name="_Toc86124070"/>
      <w:bookmarkStart w:id="361" w:name="_Toc498050660"/>
      <w:bookmarkStart w:id="362" w:name="_Toc29638"/>
      <w:r>
        <w:rPr>
          <w:rFonts w:hint="eastAsia" w:ascii="黑体" w:hAnsi="黑体" w:eastAsia="黑体" w:cs="黑体"/>
          <w:bCs w:val="0"/>
          <w:szCs w:val="24"/>
        </w:rPr>
        <w:t>30.成交</w:t>
      </w:r>
      <w:bookmarkStart w:id="363" w:name="OLE_LINK87"/>
      <w:r>
        <w:rPr>
          <w:rFonts w:hint="eastAsia" w:ascii="黑体" w:hAnsi="黑体" w:eastAsia="黑体" w:cs="黑体"/>
          <w:bCs w:val="0"/>
          <w:szCs w:val="24"/>
        </w:rPr>
        <w:t>供应商的确定</w:t>
      </w:r>
      <w:bookmarkEnd w:id="356"/>
      <w:bookmarkEnd w:id="357"/>
      <w:bookmarkEnd w:id="358"/>
      <w:bookmarkEnd w:id="359"/>
      <w:bookmarkEnd w:id="360"/>
      <w:bookmarkEnd w:id="361"/>
      <w:bookmarkEnd w:id="362"/>
      <w:bookmarkEnd w:id="363"/>
    </w:p>
    <w:p w14:paraId="2BFAA945">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30.1采购代理机构在评审结束后2个工作日内将评审报告送采购人确认。</w:t>
      </w:r>
    </w:p>
    <w:p w14:paraId="2E4B93A4">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30.2采购人在收到评审报告后5个工作日内确定成交供应商。</w:t>
      </w:r>
    </w:p>
    <w:p w14:paraId="6E6C8759">
      <w:pPr>
        <w:pStyle w:val="5"/>
        <w:spacing w:before="0" w:after="0" w:line="440" w:lineRule="exact"/>
        <w:ind w:firstLine="482"/>
        <w:jc w:val="both"/>
        <w:rPr>
          <w:rFonts w:ascii="黑体" w:hAnsi="黑体" w:eastAsia="黑体" w:cs="黑体"/>
          <w:bCs w:val="0"/>
          <w:szCs w:val="24"/>
        </w:rPr>
      </w:pPr>
      <w:bookmarkStart w:id="364" w:name="_Toc490305716"/>
      <w:bookmarkStart w:id="365" w:name="_Toc428490745"/>
      <w:bookmarkStart w:id="366" w:name="_Toc8052"/>
      <w:bookmarkStart w:id="367" w:name="_Toc498050661"/>
      <w:bookmarkStart w:id="368" w:name="_Toc327533986"/>
      <w:bookmarkStart w:id="369" w:name="_Toc462330087"/>
      <w:r>
        <w:rPr>
          <w:rFonts w:hint="eastAsia" w:ascii="黑体" w:hAnsi="黑体" w:eastAsia="黑体" w:cs="黑体"/>
          <w:bCs w:val="0"/>
          <w:szCs w:val="24"/>
        </w:rPr>
        <w:t>31.</w:t>
      </w:r>
      <w:bookmarkStart w:id="370" w:name="OLE_LINK88"/>
      <w:r>
        <w:rPr>
          <w:rFonts w:hint="eastAsia" w:ascii="黑体" w:hAnsi="黑体" w:eastAsia="黑体" w:cs="黑体"/>
          <w:bCs w:val="0"/>
          <w:szCs w:val="24"/>
        </w:rPr>
        <w:t>成交通知书</w:t>
      </w:r>
      <w:bookmarkEnd w:id="364"/>
      <w:bookmarkEnd w:id="365"/>
      <w:bookmarkEnd w:id="366"/>
      <w:bookmarkEnd w:id="367"/>
      <w:bookmarkEnd w:id="368"/>
      <w:bookmarkEnd w:id="369"/>
      <w:bookmarkEnd w:id="370"/>
    </w:p>
    <w:p w14:paraId="0EEFB1F9">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31.1成交供应商确定后，采购代理机构将在成交供应商确定后2个工作日内在云南省政府采购网上公告，同时向成交供应商发出成交通知书。成交公告期限为1个工作日。</w:t>
      </w:r>
    </w:p>
    <w:p w14:paraId="1E417E92">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31.2成交通知书是合同的一个组成部分。</w:t>
      </w:r>
    </w:p>
    <w:p w14:paraId="308BB301">
      <w:pPr>
        <w:pStyle w:val="5"/>
        <w:spacing w:before="0" w:after="0" w:line="440" w:lineRule="exact"/>
        <w:ind w:firstLine="482"/>
        <w:jc w:val="both"/>
        <w:rPr>
          <w:rFonts w:ascii="黑体" w:hAnsi="黑体" w:eastAsia="黑体" w:cs="黑体"/>
          <w:bCs w:val="0"/>
          <w:szCs w:val="24"/>
        </w:rPr>
      </w:pPr>
      <w:bookmarkStart w:id="371" w:name="_Toc428490746"/>
      <w:bookmarkStart w:id="372" w:name="_Toc86124072"/>
      <w:bookmarkStart w:id="373" w:name="_Toc462330088"/>
      <w:bookmarkStart w:id="374" w:name="_Toc327533987"/>
      <w:bookmarkStart w:id="375" w:name="_Toc25273"/>
      <w:bookmarkStart w:id="376" w:name="_Toc498050662"/>
      <w:bookmarkStart w:id="377" w:name="_Toc490305717"/>
      <w:r>
        <w:rPr>
          <w:rFonts w:hint="eastAsia" w:ascii="黑体" w:hAnsi="黑体" w:eastAsia="黑体" w:cs="黑体"/>
          <w:bCs w:val="0"/>
          <w:szCs w:val="24"/>
        </w:rPr>
        <w:t>32.签订合同</w:t>
      </w:r>
      <w:bookmarkEnd w:id="371"/>
      <w:bookmarkEnd w:id="372"/>
      <w:bookmarkEnd w:id="373"/>
      <w:bookmarkEnd w:id="374"/>
      <w:bookmarkEnd w:id="375"/>
      <w:bookmarkEnd w:id="376"/>
      <w:bookmarkEnd w:id="377"/>
    </w:p>
    <w:p w14:paraId="61A57F75">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32.1采购人与成交供应商应当自成交通知书发出之日起30日内，按照单一来源采购文件确定的合同文本以及采购标的、规格型号、采购金额、采购数量、技术和服务要求等事项签订政府采购合同。</w:t>
      </w:r>
    </w:p>
    <w:p w14:paraId="0B9E4DE6">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32.2 成交供应商因不可抗力或者自身原因不能履行政府采购合同的，项目采购失败。</w:t>
      </w:r>
    </w:p>
    <w:p w14:paraId="4B952B3F">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32.3</w:t>
      </w:r>
      <w:r>
        <w:rPr>
          <w:rFonts w:hint="eastAsia" w:ascii="宋体" w:hAnsi="宋体" w:cs="宋体"/>
        </w:rPr>
        <w:t>采购人允许采用分包方式履行合同的，成交人可以依法在成交后将成交项目的非主体、非关键性工作采取分包方式履行合同。本项目的非主体、非关键性工作是否允许分包，见《供应商须知前附表》。政府采购合同分包履行的，应当在响应文件中载明分包承担主体，分包承担主体应当具备相应资质条件且不得再次分包，否则响应无效。成交人就采购项目和分包项目向采购人负责，分包供应商就分包项目承担责任</w:t>
      </w:r>
      <w:r>
        <w:rPr>
          <w:rFonts w:hint="eastAsia" w:ascii="宋体" w:hAnsi="宋体" w:cs="宋体"/>
          <w:szCs w:val="21"/>
        </w:rPr>
        <w:t>。</w:t>
      </w:r>
    </w:p>
    <w:p w14:paraId="582B7274">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32.4政府采购合同履行中，采购人需追加与合同标的相同的货物的，在不改变合同其他条款的前提下，可以与成交供应商协商签订补充合同，但所有补充合同的采购金额不得超过原合同采购金额的百分之十。</w:t>
      </w:r>
    </w:p>
    <w:p w14:paraId="0CF04BED">
      <w:pPr>
        <w:spacing w:line="360" w:lineRule="auto"/>
        <w:ind w:firstLine="420" w:firstLineChars="200"/>
        <w:jc w:val="left"/>
        <w:rPr>
          <w:rFonts w:ascii="黑体" w:hAnsi="黑体" w:eastAsia="黑体" w:cs="黑体"/>
          <w:b/>
          <w:snapToGrid w:val="0"/>
          <w:kern w:val="21"/>
          <w:sz w:val="24"/>
        </w:rPr>
      </w:pPr>
      <w:bookmarkStart w:id="378" w:name="_Toc428490747"/>
      <w:bookmarkStart w:id="379" w:name="_Toc462330089"/>
      <w:bookmarkStart w:id="380" w:name="_Toc86124073"/>
      <w:bookmarkStart w:id="381" w:name="_Toc327533988"/>
      <w:bookmarkStart w:id="382" w:name="_Toc490305718"/>
      <w:bookmarkStart w:id="383" w:name="_Toc26282"/>
      <w:bookmarkStart w:id="384" w:name="_Toc498050663"/>
      <w:r>
        <w:rPr>
          <w:rFonts w:hint="eastAsia" w:ascii="宋体" w:hAnsi="宋体" w:cs="宋体"/>
          <w:szCs w:val="21"/>
        </w:rPr>
        <w:t>32.5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47933E5B">
      <w:pPr>
        <w:pStyle w:val="5"/>
        <w:spacing w:before="0" w:after="0" w:line="440" w:lineRule="exact"/>
        <w:ind w:firstLine="482"/>
        <w:jc w:val="both"/>
        <w:rPr>
          <w:rFonts w:ascii="黑体" w:hAnsi="黑体" w:eastAsia="黑体" w:cs="黑体"/>
          <w:bCs w:val="0"/>
          <w:snapToGrid w:val="0"/>
          <w:kern w:val="21"/>
          <w:szCs w:val="24"/>
        </w:rPr>
      </w:pPr>
      <w:r>
        <w:rPr>
          <w:rFonts w:hint="eastAsia" w:ascii="黑体" w:hAnsi="黑体" w:eastAsia="黑体" w:cs="黑体"/>
          <w:bCs w:val="0"/>
          <w:snapToGrid w:val="0"/>
          <w:kern w:val="21"/>
          <w:szCs w:val="24"/>
        </w:rPr>
        <w:t>33.履约保证金</w:t>
      </w:r>
      <w:bookmarkEnd w:id="378"/>
      <w:bookmarkEnd w:id="379"/>
      <w:bookmarkEnd w:id="380"/>
      <w:bookmarkEnd w:id="381"/>
      <w:bookmarkEnd w:id="382"/>
      <w:bookmarkEnd w:id="383"/>
      <w:bookmarkEnd w:id="384"/>
    </w:p>
    <w:p w14:paraId="06D1C28F">
      <w:pPr>
        <w:autoSpaceDE w:val="0"/>
        <w:autoSpaceDN w:val="0"/>
        <w:adjustRightInd w:val="0"/>
        <w:spacing w:line="440" w:lineRule="exact"/>
        <w:ind w:firstLine="420" w:firstLineChars="200"/>
        <w:jc w:val="left"/>
        <w:rPr>
          <w:rFonts w:ascii="宋体" w:hAnsi="宋体" w:cs="宋体"/>
          <w:szCs w:val="21"/>
        </w:rPr>
      </w:pPr>
      <w:r>
        <w:rPr>
          <w:rFonts w:hint="eastAsia" w:ascii="宋体" w:hAnsi="宋体" w:cs="宋体"/>
          <w:szCs w:val="21"/>
        </w:rPr>
        <w:t>33.1履约保证金：详见</w:t>
      </w:r>
      <w:r>
        <w:rPr>
          <w:rFonts w:hint="eastAsia" w:ascii="宋体" w:hAnsi="宋体" w:cs="宋体"/>
        </w:rPr>
        <w:t>《供应商须知前附表》。</w:t>
      </w:r>
    </w:p>
    <w:p w14:paraId="5EA88776">
      <w:pPr>
        <w:tabs>
          <w:tab w:val="left" w:pos="3150"/>
          <w:tab w:val="center" w:pos="4734"/>
        </w:tabs>
        <w:spacing w:line="500" w:lineRule="exact"/>
        <w:ind w:firstLine="280" w:firstLineChars="100"/>
        <w:jc w:val="center"/>
        <w:outlineLvl w:val="1"/>
        <w:rPr>
          <w:rFonts w:ascii="黑体" w:hAnsi="黑体" w:eastAsia="黑体" w:cs="黑体"/>
          <w:b/>
          <w:sz w:val="28"/>
          <w:szCs w:val="28"/>
        </w:rPr>
      </w:pPr>
      <w:bookmarkStart w:id="385" w:name="_Toc13284_WPSOffice_Level2"/>
      <w:bookmarkStart w:id="386" w:name="_Toc132880280"/>
      <w:bookmarkStart w:id="387" w:name="_Toc23713"/>
      <w:bookmarkStart w:id="388" w:name="OLE_LINK195"/>
      <w:r>
        <w:rPr>
          <w:rFonts w:hint="eastAsia" w:ascii="黑体" w:hAnsi="黑体" w:eastAsia="黑体" w:cs="黑体"/>
          <w:b/>
          <w:sz w:val="28"/>
          <w:szCs w:val="28"/>
        </w:rPr>
        <w:t>八、质疑</w:t>
      </w:r>
      <w:bookmarkEnd w:id="385"/>
      <w:bookmarkEnd w:id="386"/>
      <w:r>
        <w:rPr>
          <w:rFonts w:hint="eastAsia" w:ascii="黑体" w:hAnsi="黑体" w:eastAsia="黑体" w:cs="黑体"/>
          <w:b/>
          <w:sz w:val="28"/>
          <w:szCs w:val="28"/>
        </w:rPr>
        <w:t>投诉</w:t>
      </w:r>
      <w:bookmarkEnd w:id="387"/>
    </w:p>
    <w:p w14:paraId="52ED8F77">
      <w:pPr>
        <w:tabs>
          <w:tab w:val="left" w:pos="3150"/>
          <w:tab w:val="center" w:pos="4734"/>
        </w:tabs>
        <w:spacing w:line="360" w:lineRule="auto"/>
        <w:ind w:firstLine="480" w:firstLineChars="200"/>
        <w:jc w:val="left"/>
        <w:outlineLvl w:val="2"/>
        <w:rPr>
          <w:rFonts w:ascii="黑体" w:hAnsi="黑体" w:eastAsia="黑体" w:cs="黑体"/>
          <w:b/>
          <w:sz w:val="24"/>
        </w:rPr>
      </w:pPr>
      <w:bookmarkStart w:id="389" w:name="OLE_LINK254"/>
      <w:r>
        <w:rPr>
          <w:rFonts w:hint="eastAsia" w:ascii="黑体" w:hAnsi="黑体" w:eastAsia="黑体" w:cs="黑体"/>
          <w:b/>
          <w:sz w:val="24"/>
        </w:rPr>
        <w:t>34.质疑</w:t>
      </w:r>
    </w:p>
    <w:bookmarkEnd w:id="388"/>
    <w:bookmarkEnd w:id="389"/>
    <w:p w14:paraId="5FA6033D">
      <w:pPr>
        <w:spacing w:line="360" w:lineRule="auto"/>
        <w:ind w:firstLine="420"/>
        <w:rPr>
          <w:rFonts w:ascii="宋体" w:hAnsi="宋体" w:cs="宋体"/>
        </w:rPr>
      </w:pPr>
      <w:r>
        <w:rPr>
          <w:rFonts w:hint="eastAsia" w:ascii="宋体" w:hAnsi="宋体" w:cs="宋体"/>
        </w:rPr>
        <w:t>34.1供应商认为</w:t>
      </w:r>
      <w:bookmarkStart w:id="390" w:name="OLE_LINK89"/>
      <w:r>
        <w:rPr>
          <w:rFonts w:hint="eastAsia" w:ascii="宋体" w:hAnsi="宋体" w:cs="宋体"/>
        </w:rPr>
        <w:t>单一来源采购文件</w:t>
      </w:r>
      <w:bookmarkEnd w:id="390"/>
      <w:r>
        <w:rPr>
          <w:rFonts w:hint="eastAsia" w:ascii="宋体" w:hAnsi="宋体" w:cs="宋体"/>
        </w:rPr>
        <w:t>、采购过程、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47C78BA7">
      <w:pPr>
        <w:spacing w:line="360" w:lineRule="auto"/>
        <w:ind w:firstLine="420"/>
        <w:rPr>
          <w:rFonts w:ascii="宋体" w:hAnsi="宋体" w:cs="宋体"/>
        </w:rPr>
      </w:pPr>
      <w:r>
        <w:rPr>
          <w:rFonts w:hint="eastAsia" w:ascii="宋体" w:hAnsi="宋体" w:cs="宋体"/>
        </w:rPr>
        <w:t>34.2单一来源采购文件中“知道或者应知其权益受到损害之日”是指：</w:t>
      </w:r>
    </w:p>
    <w:p w14:paraId="167F5C57">
      <w:pPr>
        <w:spacing w:line="360" w:lineRule="auto"/>
        <w:ind w:firstLine="420"/>
        <w:rPr>
          <w:rFonts w:ascii="宋体" w:hAnsi="宋体" w:cs="宋体"/>
        </w:rPr>
      </w:pPr>
      <w:r>
        <w:rPr>
          <w:rFonts w:hint="eastAsia" w:ascii="宋体" w:hAnsi="宋体" w:cs="宋体"/>
        </w:rPr>
        <w:t>（1）对可以质疑的采购文件提出质疑的，为收到采购文件之日或者采购文件公告期限届满之日；</w:t>
      </w:r>
    </w:p>
    <w:p w14:paraId="4BF4043F">
      <w:pPr>
        <w:spacing w:line="360" w:lineRule="auto"/>
        <w:ind w:firstLine="420"/>
        <w:rPr>
          <w:rFonts w:ascii="宋体" w:hAnsi="宋体" w:cs="宋体"/>
        </w:rPr>
      </w:pPr>
      <w:r>
        <w:rPr>
          <w:rFonts w:hint="eastAsia" w:ascii="宋体" w:hAnsi="宋体" w:cs="宋体"/>
        </w:rPr>
        <w:t>（2）对采购过程提出质疑的，为各采购程序环节结束之日；</w:t>
      </w:r>
    </w:p>
    <w:p w14:paraId="714D87CD">
      <w:pPr>
        <w:spacing w:line="360" w:lineRule="auto"/>
        <w:ind w:firstLine="420"/>
        <w:rPr>
          <w:rFonts w:ascii="宋体" w:hAnsi="宋体" w:cs="宋体"/>
        </w:rPr>
      </w:pPr>
      <w:r>
        <w:rPr>
          <w:rFonts w:hint="eastAsia" w:ascii="宋体" w:hAnsi="宋体" w:cs="宋体"/>
        </w:rPr>
        <w:t>（3）对成交结果提出质疑的，为成交结果公告期限届满之日。</w:t>
      </w:r>
    </w:p>
    <w:p w14:paraId="32BF8C23">
      <w:pPr>
        <w:spacing w:line="360" w:lineRule="auto"/>
        <w:ind w:firstLine="420"/>
        <w:rPr>
          <w:rFonts w:ascii="宋体" w:hAnsi="宋体" w:cs="宋体"/>
        </w:rPr>
      </w:pPr>
      <w:r>
        <w:rPr>
          <w:rFonts w:hint="eastAsia" w:ascii="宋体" w:hAnsi="宋体" w:cs="宋体"/>
        </w:rPr>
        <w:t>34.3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779D1A0E">
      <w:pPr>
        <w:spacing w:line="360" w:lineRule="auto"/>
        <w:ind w:firstLine="420"/>
        <w:rPr>
          <w:rFonts w:ascii="宋体" w:hAnsi="宋体" w:cs="宋体"/>
        </w:rPr>
      </w:pPr>
      <w:r>
        <w:rPr>
          <w:rFonts w:hint="eastAsia" w:ascii="宋体" w:hAnsi="宋体" w:cs="宋体"/>
        </w:rPr>
        <w:t>提出质疑的供应商应当是参与所质疑项目采购活动的供应商。</w:t>
      </w:r>
    </w:p>
    <w:p w14:paraId="39132DD1">
      <w:pPr>
        <w:spacing w:line="360" w:lineRule="auto"/>
        <w:ind w:firstLine="420"/>
        <w:rPr>
          <w:rFonts w:ascii="宋体" w:hAnsi="宋体" w:cs="宋体"/>
        </w:rPr>
      </w:pPr>
      <w:r>
        <w:rPr>
          <w:rFonts w:hint="eastAsia" w:ascii="宋体" w:hAnsi="宋体" w:cs="宋体"/>
        </w:rPr>
        <w:t>34.4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2C563FEE">
      <w:pPr>
        <w:spacing w:line="360" w:lineRule="auto"/>
        <w:ind w:firstLine="420"/>
        <w:rPr>
          <w:rFonts w:ascii="宋体" w:hAnsi="宋体" w:cs="宋体"/>
        </w:rPr>
      </w:pPr>
      <w:r>
        <w:rPr>
          <w:rFonts w:hint="eastAsia" w:ascii="宋体" w:hAnsi="宋体" w:cs="宋体"/>
        </w:rPr>
        <w:t>（1）供应商的姓名或者名称、地址、邮编、联系人及联系电话；</w:t>
      </w:r>
    </w:p>
    <w:p w14:paraId="5F7F3673">
      <w:pPr>
        <w:spacing w:line="360" w:lineRule="auto"/>
        <w:ind w:firstLine="420"/>
        <w:rPr>
          <w:rFonts w:ascii="宋体" w:hAnsi="宋体" w:cs="宋体"/>
        </w:rPr>
      </w:pPr>
      <w:r>
        <w:rPr>
          <w:rFonts w:hint="eastAsia" w:ascii="宋体" w:hAnsi="宋体" w:cs="宋体"/>
        </w:rPr>
        <w:t>（2）质疑项目的名称、编号；</w:t>
      </w:r>
    </w:p>
    <w:p w14:paraId="6B3B6A20">
      <w:pPr>
        <w:spacing w:line="360" w:lineRule="auto"/>
        <w:ind w:firstLine="420"/>
        <w:rPr>
          <w:rFonts w:ascii="宋体" w:hAnsi="宋体" w:cs="宋体"/>
        </w:rPr>
      </w:pPr>
      <w:r>
        <w:rPr>
          <w:rFonts w:hint="eastAsia" w:ascii="宋体" w:hAnsi="宋体" w:cs="宋体"/>
        </w:rPr>
        <w:t>（3）具体、明确的质疑事项和与质疑事项相关的请求；</w:t>
      </w:r>
    </w:p>
    <w:p w14:paraId="506B4790">
      <w:pPr>
        <w:spacing w:line="360" w:lineRule="auto"/>
        <w:ind w:firstLine="420"/>
        <w:rPr>
          <w:rFonts w:ascii="宋体" w:hAnsi="宋体" w:cs="宋体"/>
        </w:rPr>
      </w:pPr>
      <w:r>
        <w:rPr>
          <w:rFonts w:hint="eastAsia" w:ascii="宋体" w:hAnsi="宋体" w:cs="宋体"/>
        </w:rPr>
        <w:t>（4）事实依据；</w:t>
      </w:r>
    </w:p>
    <w:p w14:paraId="76431420">
      <w:pPr>
        <w:spacing w:line="360" w:lineRule="auto"/>
        <w:ind w:firstLine="420"/>
        <w:rPr>
          <w:rFonts w:ascii="宋体" w:hAnsi="宋体" w:cs="宋体"/>
        </w:rPr>
      </w:pPr>
      <w:r>
        <w:rPr>
          <w:rFonts w:hint="eastAsia" w:ascii="宋体" w:hAnsi="宋体" w:cs="宋体"/>
        </w:rPr>
        <w:t>（5）必要的法律依据；</w:t>
      </w:r>
    </w:p>
    <w:p w14:paraId="29E4EC10">
      <w:pPr>
        <w:spacing w:line="360" w:lineRule="auto"/>
        <w:ind w:firstLine="420"/>
        <w:rPr>
          <w:rFonts w:ascii="宋体" w:hAnsi="宋体" w:cs="宋体"/>
        </w:rPr>
      </w:pPr>
      <w:r>
        <w:rPr>
          <w:rFonts w:hint="eastAsia" w:ascii="宋体" w:hAnsi="宋体" w:cs="宋体"/>
        </w:rPr>
        <w:t>（6）提出质疑的日期。</w:t>
      </w:r>
    </w:p>
    <w:p w14:paraId="785EFD81">
      <w:pPr>
        <w:spacing w:line="360" w:lineRule="auto"/>
        <w:ind w:firstLine="420"/>
        <w:rPr>
          <w:rFonts w:ascii="宋体" w:hAnsi="宋体" w:cs="宋体"/>
        </w:rPr>
      </w:pPr>
      <w:r>
        <w:rPr>
          <w:rFonts w:hint="eastAsia" w:ascii="宋体" w:hAnsi="宋体" w:cs="宋体"/>
        </w:rPr>
        <w:t>供应商为自然人的，应当由本人签字；供应商为法人或者其他组织的，应当由法定代表人、主要负责人，或者其授权代表签字或者盖章，并加盖公章。</w:t>
      </w:r>
    </w:p>
    <w:p w14:paraId="57900051">
      <w:pPr>
        <w:spacing w:line="360" w:lineRule="auto"/>
        <w:ind w:firstLine="420"/>
        <w:rPr>
          <w:rFonts w:ascii="宋体" w:hAnsi="宋体" w:cs="宋体"/>
        </w:rPr>
      </w:pPr>
      <w:r>
        <w:rPr>
          <w:rFonts w:hint="eastAsia" w:ascii="宋体" w:hAnsi="宋体" w:cs="宋体"/>
        </w:rPr>
        <w:t>34.5供应商不得捏造事实、提供虚假材料或者以非法手段取得证明材料。</w:t>
      </w:r>
    </w:p>
    <w:p w14:paraId="26C3B3F1">
      <w:pPr>
        <w:spacing w:line="360" w:lineRule="auto"/>
        <w:ind w:firstLine="420"/>
        <w:rPr>
          <w:rFonts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48E5741B">
      <w:pPr>
        <w:spacing w:line="360" w:lineRule="auto"/>
        <w:ind w:firstLine="420"/>
        <w:rPr>
          <w:rFonts w:ascii="宋体" w:hAnsi="宋体" w:cs="宋体"/>
        </w:rPr>
      </w:pPr>
      <w:r>
        <w:rPr>
          <w:rFonts w:hint="eastAsia" w:ascii="宋体" w:hAnsi="宋体" w:cs="宋体"/>
        </w:rPr>
        <w:t>34.7采购人、采购代理机构将在收到供应商质疑函后七个工作日内作出答复，但质疑答复的内容不涉及商业秘密。</w:t>
      </w:r>
    </w:p>
    <w:p w14:paraId="47382FED">
      <w:pPr>
        <w:spacing w:line="360" w:lineRule="auto"/>
        <w:ind w:firstLine="420"/>
        <w:rPr>
          <w:rFonts w:ascii="宋体" w:hAnsi="宋体" w:cs="宋体"/>
        </w:rPr>
      </w:pPr>
      <w:r>
        <w:rPr>
          <w:rFonts w:hint="eastAsia" w:ascii="宋体" w:hAnsi="宋体" w:cs="宋体"/>
        </w:rPr>
        <w:t>34.8供应商对评审过程、成交结果提出质疑的，采购人、采购代理机构可以组织原单一来源采购人员协助答复质疑。质疑答复导致成交结果改变的，采购人或者采购代理机构会将有关情况书面报告本级财政部门。</w:t>
      </w:r>
    </w:p>
    <w:p w14:paraId="6CADC4D7">
      <w:pPr>
        <w:spacing w:line="360" w:lineRule="auto"/>
        <w:ind w:firstLine="420"/>
        <w:rPr>
          <w:rFonts w:ascii="宋体" w:hAnsi="宋体" w:cs="宋体"/>
        </w:rPr>
      </w:pPr>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1C30625C">
      <w:pPr>
        <w:tabs>
          <w:tab w:val="left" w:pos="3150"/>
          <w:tab w:val="center" w:pos="4734"/>
        </w:tabs>
        <w:spacing w:line="360" w:lineRule="auto"/>
        <w:ind w:firstLine="480" w:firstLineChars="200"/>
        <w:jc w:val="left"/>
        <w:outlineLvl w:val="2"/>
        <w:rPr>
          <w:rFonts w:ascii="黑体" w:hAnsi="黑体" w:eastAsia="黑体" w:cs="黑体"/>
          <w:b/>
          <w:sz w:val="24"/>
        </w:rPr>
      </w:pPr>
      <w:bookmarkStart w:id="391" w:name="_Toc15777"/>
      <w:bookmarkStart w:id="392" w:name="_Toc38338277"/>
      <w:bookmarkStart w:id="393" w:name="_Toc489145712"/>
      <w:bookmarkStart w:id="394" w:name="_Toc37716357"/>
      <w:bookmarkStart w:id="395" w:name="_Toc489197816"/>
      <w:bookmarkStart w:id="396" w:name="_Toc30469"/>
      <w:bookmarkStart w:id="397" w:name="_Toc16110"/>
      <w:r>
        <w:rPr>
          <w:rFonts w:hint="eastAsia" w:ascii="黑体" w:hAnsi="黑体" w:eastAsia="黑体" w:cs="黑体"/>
          <w:b/>
          <w:sz w:val="24"/>
        </w:rPr>
        <w:t>35.投诉</w:t>
      </w:r>
      <w:bookmarkEnd w:id="391"/>
      <w:bookmarkEnd w:id="392"/>
      <w:bookmarkEnd w:id="393"/>
      <w:bookmarkEnd w:id="394"/>
      <w:bookmarkEnd w:id="395"/>
      <w:bookmarkEnd w:id="396"/>
      <w:bookmarkEnd w:id="397"/>
    </w:p>
    <w:p w14:paraId="23778039">
      <w:pPr>
        <w:spacing w:line="440" w:lineRule="exact"/>
        <w:ind w:firstLine="420" w:firstLineChars="200"/>
        <w:jc w:val="left"/>
        <w:rPr>
          <w:rFonts w:ascii="宋体" w:hAnsi="宋体" w:cs="宋体"/>
          <w:szCs w:val="21"/>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必须首先经过质疑程序。质疑供应商对采购人、采购代理机构的答复不满意，或者采购人、采购代理机构未在规定时间内作出答复的，可以在答复期满后十五个工作日内书面向财政部门提起投诉。</w:t>
      </w:r>
    </w:p>
    <w:p w14:paraId="5D6B80F5">
      <w:pPr>
        <w:pStyle w:val="4"/>
        <w:spacing w:before="0" w:after="0" w:line="440" w:lineRule="exact"/>
        <w:ind w:left="-600"/>
        <w:rPr>
          <w:rFonts w:ascii="黑体" w:hAnsi="黑体" w:eastAsia="黑体" w:cs="黑体"/>
          <w:bCs w:val="0"/>
          <w:snapToGrid w:val="0"/>
          <w:kern w:val="21"/>
          <w:szCs w:val="28"/>
        </w:rPr>
      </w:pPr>
      <w:bookmarkStart w:id="398" w:name="_Toc21829"/>
      <w:bookmarkStart w:id="399" w:name="_Toc462330090"/>
      <w:bookmarkStart w:id="400" w:name="_Toc428490748"/>
      <w:bookmarkStart w:id="401" w:name="_Toc490305719"/>
      <w:bookmarkStart w:id="402" w:name="_Toc86124074"/>
      <w:bookmarkStart w:id="403" w:name="_Toc20362"/>
      <w:bookmarkStart w:id="404" w:name="_Toc498050664"/>
      <w:r>
        <w:rPr>
          <w:rFonts w:hint="eastAsia" w:ascii="黑体" w:hAnsi="黑体" w:eastAsia="黑体" w:cs="黑体"/>
          <w:bCs w:val="0"/>
          <w:snapToGrid w:val="0"/>
          <w:kern w:val="21"/>
          <w:szCs w:val="28"/>
        </w:rPr>
        <w:t>九、其他事项</w:t>
      </w:r>
      <w:bookmarkEnd w:id="398"/>
      <w:bookmarkEnd w:id="399"/>
      <w:bookmarkEnd w:id="400"/>
      <w:bookmarkEnd w:id="401"/>
      <w:bookmarkEnd w:id="402"/>
      <w:bookmarkEnd w:id="403"/>
      <w:bookmarkEnd w:id="404"/>
    </w:p>
    <w:p w14:paraId="515B56CA">
      <w:pPr>
        <w:tabs>
          <w:tab w:val="left" w:pos="3150"/>
          <w:tab w:val="center" w:pos="4734"/>
        </w:tabs>
        <w:spacing w:line="500" w:lineRule="exact"/>
        <w:ind w:firstLine="480" w:firstLineChars="200"/>
        <w:jc w:val="left"/>
        <w:outlineLvl w:val="2"/>
        <w:rPr>
          <w:rFonts w:ascii="黑体" w:hAnsi="黑体" w:eastAsia="黑体" w:cs="黑体"/>
          <w:b/>
          <w:sz w:val="24"/>
        </w:rPr>
      </w:pPr>
      <w:bookmarkStart w:id="405" w:name="OLE_LINK196"/>
      <w:r>
        <w:rPr>
          <w:rFonts w:hint="eastAsia" w:ascii="黑体" w:hAnsi="黑体" w:eastAsia="黑体" w:cs="黑体"/>
          <w:b/>
          <w:sz w:val="24"/>
        </w:rPr>
        <w:t>36.</w:t>
      </w:r>
      <w:r>
        <w:rPr>
          <w:rFonts w:ascii="黑体" w:hAnsi="黑体" w:eastAsia="黑体" w:cs="黑体"/>
          <w:b/>
          <w:sz w:val="24"/>
        </w:rPr>
        <w:t>采购代理服务费</w:t>
      </w:r>
    </w:p>
    <w:p w14:paraId="731F7180">
      <w:pPr>
        <w:widowControl/>
        <w:spacing w:line="360" w:lineRule="auto"/>
        <w:ind w:firstLine="420" w:firstLineChars="200"/>
        <w:jc w:val="left"/>
        <w:rPr>
          <w:rFonts w:ascii="宋体"/>
          <w:szCs w:val="21"/>
        </w:rPr>
      </w:pPr>
      <w:bookmarkStart w:id="406" w:name="OLE_LINK325"/>
      <w:r>
        <w:rPr>
          <w:rFonts w:hint="eastAsia" w:hAnsi="宋体"/>
          <w:szCs w:val="21"/>
        </w:rPr>
        <w:t>36.1参照原《招标代理服务收费管理暂行办法》（计价格〔2002〕1980号）的收费标准下浮25%向成交人收取（计算基准价为成交金额），代理费下浮后，不足2000元的按2000元计算。</w:t>
      </w:r>
    </w:p>
    <w:p w14:paraId="1CD2E6B7">
      <w:pPr>
        <w:spacing w:line="360" w:lineRule="auto"/>
        <w:ind w:firstLine="420" w:firstLineChars="200"/>
        <w:jc w:val="left"/>
        <w:rPr>
          <w:rFonts w:hAnsi="宋体"/>
          <w:szCs w:val="21"/>
        </w:rPr>
      </w:pPr>
      <w:r>
        <w:rPr>
          <w:rFonts w:hint="eastAsia" w:hAnsi="宋体"/>
          <w:szCs w:val="21"/>
        </w:rPr>
        <w:t>36.2</w:t>
      </w:r>
      <w:bookmarkEnd w:id="405"/>
      <w:bookmarkEnd w:id="406"/>
      <w:r>
        <w:rPr>
          <w:rFonts w:hint="eastAsia" w:ascii="宋体" w:hAnsi="宋体" w:cs="宋体"/>
          <w:kern w:val="0"/>
          <w:szCs w:val="21"/>
        </w:rPr>
        <w:t>付费方</w:t>
      </w:r>
      <w:r>
        <w:rPr>
          <w:rFonts w:hint="eastAsia" w:ascii="宋体" w:hAnsi="宋体" w:cs="宋体"/>
          <w:szCs w:val="21"/>
        </w:rPr>
        <w:t>应按委托代理合同约定或在成交人接受“成交通知书”前向采购代理机构一次付清采购代理服务费</w:t>
      </w:r>
      <w:r>
        <w:rPr>
          <w:rFonts w:hint="eastAsia" w:hAnsi="宋体"/>
          <w:szCs w:val="21"/>
        </w:rPr>
        <w:t>。</w:t>
      </w:r>
    </w:p>
    <w:p w14:paraId="395DA2F4">
      <w:pPr>
        <w:tabs>
          <w:tab w:val="left" w:pos="3150"/>
          <w:tab w:val="center" w:pos="4734"/>
        </w:tabs>
        <w:spacing w:line="500" w:lineRule="exact"/>
        <w:ind w:firstLine="480" w:firstLineChars="200"/>
        <w:jc w:val="left"/>
        <w:outlineLvl w:val="2"/>
        <w:rPr>
          <w:rFonts w:ascii="黑体" w:hAnsi="黑体" w:eastAsia="黑体" w:cs="黑体"/>
          <w:b/>
          <w:sz w:val="24"/>
        </w:rPr>
      </w:pPr>
      <w:bookmarkStart w:id="407" w:name="_Toc3097"/>
      <w:bookmarkStart w:id="408" w:name="OLE_LINK197"/>
      <w:r>
        <w:rPr>
          <w:rFonts w:hint="eastAsia" w:ascii="黑体" w:hAnsi="黑体" w:eastAsia="黑体" w:cs="黑体"/>
          <w:b/>
          <w:sz w:val="24"/>
        </w:rPr>
        <w:t>37.</w:t>
      </w:r>
      <w:r>
        <w:rPr>
          <w:rFonts w:ascii="黑体" w:hAnsi="黑体" w:eastAsia="黑体" w:cs="黑体"/>
          <w:b/>
          <w:sz w:val="24"/>
        </w:rPr>
        <w:t>需要补充的其他内容</w:t>
      </w:r>
      <w:bookmarkEnd w:id="407"/>
    </w:p>
    <w:p w14:paraId="7B4D319F">
      <w:pPr>
        <w:spacing w:line="360" w:lineRule="auto"/>
        <w:ind w:firstLine="420" w:firstLineChars="200"/>
        <w:jc w:val="left"/>
        <w:rPr>
          <w:rFonts w:hAnsi="宋体" w:cs="宋体"/>
          <w:szCs w:val="21"/>
        </w:rPr>
      </w:pPr>
      <w:r>
        <w:rPr>
          <w:rFonts w:hint="eastAsia" w:ascii="宋体" w:hAnsi="宋体" w:cs="宋体"/>
        </w:rPr>
        <w:t>37.1其他需要补充的其他内容：详见《供应商须知前附表》</w:t>
      </w:r>
      <w:r>
        <w:rPr>
          <w:rFonts w:hint="eastAsia" w:hAnsi="宋体" w:cs="宋体"/>
          <w:szCs w:val="21"/>
        </w:rPr>
        <w:t>。</w:t>
      </w:r>
    </w:p>
    <w:bookmarkEnd w:id="408"/>
    <w:p w14:paraId="5D5F77CE">
      <w:pPr>
        <w:jc w:val="center"/>
        <w:rPr>
          <w:rFonts w:ascii="黑体" w:hAnsi="黑体" w:eastAsia="黑体" w:cs="黑体"/>
          <w:sz w:val="32"/>
          <w:szCs w:val="32"/>
        </w:rPr>
      </w:pPr>
      <w:bookmarkStart w:id="409" w:name="_Toc19928"/>
      <w:bookmarkStart w:id="410" w:name="_Toc86124078"/>
      <w:bookmarkStart w:id="411" w:name="OLE_LINK92"/>
      <w:bookmarkStart w:id="412" w:name="_Toc30341"/>
      <w:bookmarkStart w:id="413" w:name="_Toc28280"/>
      <w:r>
        <w:rPr>
          <w:rFonts w:ascii="黑体" w:hAnsi="黑体" w:eastAsia="黑体" w:cs="黑体"/>
          <w:sz w:val="32"/>
          <w:szCs w:val="32"/>
        </w:rPr>
        <w:br w:type="page"/>
      </w:r>
    </w:p>
    <w:p w14:paraId="07ACEC4E">
      <w:pPr>
        <w:pStyle w:val="3"/>
        <w:jc w:val="center"/>
        <w:rPr>
          <w:rFonts w:ascii="Times New Roman" w:eastAsia="宋体"/>
          <w:color w:val="auto"/>
          <w:sz w:val="32"/>
          <w:szCs w:val="32"/>
        </w:rPr>
      </w:pPr>
      <w:r>
        <w:rPr>
          <w:rFonts w:ascii="黑体" w:hAnsi="黑体" w:eastAsia="黑体" w:cs="黑体"/>
          <w:bCs w:val="0"/>
          <w:color w:val="auto"/>
          <w:kern w:val="2"/>
          <w:sz w:val="32"/>
          <w:szCs w:val="32"/>
        </w:rPr>
        <w:t>第三章  合同书样式及主要条款</w:t>
      </w:r>
      <w:bookmarkEnd w:id="409"/>
      <w:bookmarkEnd w:id="410"/>
      <w:bookmarkEnd w:id="411"/>
      <w:bookmarkEnd w:id="412"/>
      <w:bookmarkEnd w:id="413"/>
    </w:p>
    <w:p w14:paraId="20BC99A8">
      <w:pPr>
        <w:pStyle w:val="4"/>
        <w:spacing w:before="0"/>
        <w:rPr>
          <w:rFonts w:ascii="宋体" w:hAnsi="宋体" w:cs="宋体"/>
          <w:szCs w:val="28"/>
        </w:rPr>
      </w:pPr>
      <w:bookmarkStart w:id="414" w:name="_Toc492340338"/>
      <w:bookmarkStart w:id="415" w:name="_Toc86124079"/>
      <w:bookmarkStart w:id="416" w:name="_Toc25107"/>
      <w:bookmarkStart w:id="417" w:name="_Toc14109"/>
      <w:bookmarkStart w:id="418" w:name="_Toc32658"/>
      <w:bookmarkStart w:id="419" w:name="_Toc86124081"/>
      <w:r>
        <w:rPr>
          <w:rFonts w:hint="eastAsia" w:ascii="宋体" w:hAnsi="宋体" w:cs="宋体"/>
          <w:szCs w:val="28"/>
        </w:rPr>
        <w:t>合同条款前附表</w:t>
      </w:r>
      <w:bookmarkEnd w:id="414"/>
      <w:bookmarkEnd w:id="415"/>
      <w:bookmarkEnd w:id="416"/>
    </w:p>
    <w:tbl>
      <w:tblPr>
        <w:tblStyle w:val="38"/>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137"/>
        <w:gridCol w:w="5682"/>
      </w:tblGrid>
      <w:tr w14:paraId="41B6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4FBC7C9F">
            <w:pPr>
              <w:pStyle w:val="18"/>
              <w:spacing w:line="440" w:lineRule="exact"/>
              <w:jc w:val="center"/>
              <w:rPr>
                <w:rFonts w:hAnsi="宋体" w:cs="宋体"/>
                <w:b/>
                <w:bCs/>
                <w:sz w:val="21"/>
                <w:szCs w:val="21"/>
              </w:rPr>
            </w:pPr>
            <w:r>
              <w:rPr>
                <w:rFonts w:hint="eastAsia" w:hAnsi="宋体" w:cs="宋体"/>
                <w:b/>
                <w:bCs/>
                <w:sz w:val="21"/>
                <w:szCs w:val="21"/>
              </w:rPr>
              <w:t>序号</w:t>
            </w:r>
          </w:p>
        </w:tc>
        <w:tc>
          <w:tcPr>
            <w:tcW w:w="2137" w:type="dxa"/>
            <w:tcBorders>
              <w:bottom w:val="single" w:color="auto" w:sz="4" w:space="0"/>
            </w:tcBorders>
            <w:vAlign w:val="center"/>
          </w:tcPr>
          <w:p w14:paraId="3BCE1267">
            <w:pPr>
              <w:pStyle w:val="18"/>
              <w:spacing w:line="440" w:lineRule="exact"/>
              <w:jc w:val="center"/>
              <w:rPr>
                <w:rFonts w:hAnsi="宋体" w:cs="宋体"/>
                <w:b/>
                <w:bCs/>
                <w:sz w:val="21"/>
                <w:szCs w:val="21"/>
              </w:rPr>
            </w:pPr>
            <w:r>
              <w:rPr>
                <w:rFonts w:hint="eastAsia" w:hAnsi="宋体" w:cs="宋体"/>
                <w:b/>
                <w:bCs/>
                <w:sz w:val="21"/>
                <w:szCs w:val="21"/>
              </w:rPr>
              <w:t>内   容</w:t>
            </w:r>
          </w:p>
        </w:tc>
        <w:tc>
          <w:tcPr>
            <w:tcW w:w="5682" w:type="dxa"/>
            <w:tcBorders>
              <w:bottom w:val="single" w:color="auto" w:sz="4" w:space="0"/>
            </w:tcBorders>
            <w:vAlign w:val="center"/>
          </w:tcPr>
          <w:p w14:paraId="1FF39AB1">
            <w:pPr>
              <w:pStyle w:val="18"/>
              <w:spacing w:line="440" w:lineRule="exact"/>
              <w:jc w:val="center"/>
              <w:rPr>
                <w:rFonts w:hAnsi="宋体" w:cs="宋体"/>
                <w:b/>
                <w:bCs/>
                <w:sz w:val="21"/>
                <w:szCs w:val="21"/>
              </w:rPr>
            </w:pPr>
            <w:r>
              <w:rPr>
                <w:rFonts w:hint="eastAsia" w:hAnsi="宋体" w:cs="宋体"/>
                <w:b/>
                <w:bCs/>
                <w:sz w:val="21"/>
                <w:szCs w:val="21"/>
              </w:rPr>
              <w:t>要   求</w:t>
            </w:r>
          </w:p>
        </w:tc>
      </w:tr>
      <w:tr w14:paraId="0FBF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0E09662D">
            <w:pPr>
              <w:jc w:val="center"/>
              <w:rPr>
                <w:rFonts w:hAnsi="宋体" w:cs="宋体"/>
                <w:bCs/>
                <w:szCs w:val="21"/>
              </w:rPr>
            </w:pPr>
            <w:r>
              <w:rPr>
                <w:rFonts w:hint="eastAsia" w:ascii="宋体" w:hAnsi="宋体" w:cs="宋体"/>
                <w:szCs w:val="21"/>
              </w:rPr>
              <w:t>★</w:t>
            </w:r>
            <w:r>
              <w:rPr>
                <w:rFonts w:hint="eastAsia" w:hAnsi="宋体" w:cs="宋体"/>
                <w:bCs/>
                <w:szCs w:val="21"/>
              </w:rPr>
              <w:t>1</w:t>
            </w:r>
          </w:p>
        </w:tc>
        <w:tc>
          <w:tcPr>
            <w:tcW w:w="2137" w:type="dxa"/>
            <w:tcBorders>
              <w:top w:val="single" w:color="auto" w:sz="4" w:space="0"/>
              <w:left w:val="single" w:color="auto" w:sz="4" w:space="0"/>
              <w:bottom w:val="single" w:color="auto" w:sz="4" w:space="0"/>
            </w:tcBorders>
            <w:vAlign w:val="center"/>
          </w:tcPr>
          <w:p w14:paraId="65F96D93">
            <w:pPr>
              <w:pStyle w:val="18"/>
              <w:spacing w:line="360" w:lineRule="auto"/>
              <w:jc w:val="center"/>
            </w:pPr>
            <w:r>
              <w:rPr>
                <w:rFonts w:hint="eastAsia" w:hAnsi="宋体"/>
                <w:kern w:val="2"/>
                <w:sz w:val="21"/>
                <w:szCs w:val="21"/>
              </w:rPr>
              <w:t>合同履行期限（服务期限）</w:t>
            </w:r>
          </w:p>
        </w:tc>
        <w:tc>
          <w:tcPr>
            <w:tcW w:w="5682" w:type="dxa"/>
            <w:tcBorders>
              <w:top w:val="single" w:color="auto" w:sz="4" w:space="0"/>
              <w:left w:val="single" w:color="auto" w:sz="4" w:space="0"/>
              <w:bottom w:val="single" w:color="auto" w:sz="4" w:space="0"/>
            </w:tcBorders>
            <w:vAlign w:val="center"/>
          </w:tcPr>
          <w:p w14:paraId="0A8A0C19">
            <w:pPr>
              <w:pStyle w:val="18"/>
              <w:spacing w:line="360" w:lineRule="auto"/>
              <w:rPr>
                <w:rFonts w:hAnsi="宋体"/>
                <w:kern w:val="2"/>
                <w:sz w:val="21"/>
                <w:szCs w:val="21"/>
              </w:rPr>
            </w:pPr>
            <w:r>
              <w:rPr>
                <w:rFonts w:hint="eastAsia" w:hAnsi="宋体"/>
                <w:kern w:val="2"/>
                <w:sz w:val="21"/>
                <w:szCs w:val="21"/>
              </w:rPr>
              <w:t>合同签订后40个日历天内完成。</w:t>
            </w:r>
          </w:p>
        </w:tc>
      </w:tr>
      <w:tr w14:paraId="4665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122" w:type="dxa"/>
            <w:tcBorders>
              <w:top w:val="single" w:color="auto" w:sz="4" w:space="0"/>
            </w:tcBorders>
            <w:vAlign w:val="center"/>
          </w:tcPr>
          <w:p w14:paraId="657B76CE">
            <w:pPr>
              <w:jc w:val="center"/>
              <w:rPr>
                <w:rFonts w:hAnsi="宋体" w:cs="宋体"/>
                <w:bCs/>
                <w:szCs w:val="21"/>
              </w:rPr>
            </w:pPr>
            <w:r>
              <w:rPr>
                <w:rFonts w:hint="eastAsia" w:hAnsi="宋体" w:cs="宋体"/>
                <w:bCs/>
                <w:szCs w:val="21"/>
              </w:rPr>
              <w:t>2</w:t>
            </w:r>
          </w:p>
        </w:tc>
        <w:tc>
          <w:tcPr>
            <w:tcW w:w="2137" w:type="dxa"/>
            <w:tcBorders>
              <w:top w:val="single" w:color="auto" w:sz="4" w:space="0"/>
            </w:tcBorders>
            <w:vAlign w:val="center"/>
          </w:tcPr>
          <w:p w14:paraId="49FBB1C8">
            <w:pPr>
              <w:spacing w:line="400" w:lineRule="exact"/>
              <w:jc w:val="center"/>
              <w:rPr>
                <w:rFonts w:ascii="宋体" w:hAnsi="宋体"/>
                <w:szCs w:val="21"/>
              </w:rPr>
            </w:pPr>
            <w:r>
              <w:rPr>
                <w:rFonts w:ascii="宋体" w:hAnsi="宋体"/>
                <w:szCs w:val="21"/>
              </w:rPr>
              <w:t>服务地点</w:t>
            </w:r>
          </w:p>
        </w:tc>
        <w:tc>
          <w:tcPr>
            <w:tcW w:w="5682" w:type="dxa"/>
            <w:tcBorders>
              <w:top w:val="single" w:color="auto" w:sz="4" w:space="0"/>
            </w:tcBorders>
            <w:vAlign w:val="center"/>
          </w:tcPr>
          <w:p w14:paraId="13D7F4E8">
            <w:pPr>
              <w:spacing w:line="400" w:lineRule="exact"/>
              <w:rPr>
                <w:rFonts w:ascii="宋体" w:hAnsi="宋体"/>
                <w:szCs w:val="21"/>
              </w:rPr>
            </w:pPr>
            <w:r>
              <w:rPr>
                <w:rFonts w:hint="eastAsia" w:ascii="宋体" w:hAnsi="宋体"/>
                <w:szCs w:val="21"/>
              </w:rPr>
              <w:t>西南林业大学指定地点。</w:t>
            </w:r>
          </w:p>
        </w:tc>
      </w:tr>
      <w:tr w14:paraId="1D79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2E18276C">
            <w:pPr>
              <w:jc w:val="center"/>
              <w:rPr>
                <w:rFonts w:hAnsi="宋体" w:cs="宋体"/>
                <w:bCs/>
                <w:szCs w:val="21"/>
              </w:rPr>
            </w:pPr>
            <w:r>
              <w:rPr>
                <w:rFonts w:hint="eastAsia" w:ascii="宋体" w:hAnsi="宋体" w:cs="宋体"/>
                <w:szCs w:val="21"/>
              </w:rPr>
              <w:t>★</w:t>
            </w:r>
            <w:r>
              <w:rPr>
                <w:rFonts w:hint="eastAsia" w:hAnsi="宋体" w:cs="宋体"/>
                <w:bCs/>
                <w:szCs w:val="21"/>
              </w:rPr>
              <w:t>3</w:t>
            </w:r>
          </w:p>
        </w:tc>
        <w:tc>
          <w:tcPr>
            <w:tcW w:w="2137" w:type="dxa"/>
            <w:vAlign w:val="center"/>
          </w:tcPr>
          <w:p w14:paraId="7F6D93A1">
            <w:pPr>
              <w:spacing w:line="360" w:lineRule="auto"/>
              <w:jc w:val="center"/>
              <w:rPr>
                <w:rFonts w:ascii="宋体" w:hAnsi="宋体"/>
                <w:szCs w:val="21"/>
              </w:rPr>
            </w:pPr>
            <w:r>
              <w:rPr>
                <w:rFonts w:hint="eastAsia" w:ascii="宋体" w:hAnsi="宋体" w:cs="宋体"/>
                <w:szCs w:val="21"/>
              </w:rPr>
              <w:t>付款方式</w:t>
            </w:r>
          </w:p>
        </w:tc>
        <w:tc>
          <w:tcPr>
            <w:tcW w:w="5682" w:type="dxa"/>
            <w:vAlign w:val="center"/>
          </w:tcPr>
          <w:p w14:paraId="48AD6863">
            <w:pPr>
              <w:spacing w:line="440" w:lineRule="exact"/>
              <w:rPr>
                <w:szCs w:val="21"/>
              </w:rPr>
            </w:pPr>
            <w:r>
              <w:rPr>
                <w:rFonts w:hint="eastAsia"/>
                <w:szCs w:val="21"/>
              </w:rPr>
              <w:t>本项目无预付款，甲方在按合同验收标准验收合格，乙方提供符合税务机关要求的正规增值税发票，并履行完相关财务报销手续，财务审核通过后的10个工作日内完成款项支付。</w:t>
            </w:r>
          </w:p>
          <w:p w14:paraId="666E6DAD">
            <w:pPr>
              <w:spacing w:line="440" w:lineRule="exact"/>
              <w:rPr>
                <w:szCs w:val="21"/>
              </w:rPr>
            </w:pPr>
            <w:r>
              <w:rPr>
                <w:rFonts w:hint="eastAsia"/>
                <w:szCs w:val="21"/>
              </w:rPr>
              <w:t>若因乙方未通过验收或提交不符合甲方及税务机关要求的正规增值税发票导致无法正常付款的，相关责任及后果由乙方自行承担。</w:t>
            </w:r>
          </w:p>
          <w:p w14:paraId="5683583A">
            <w:pPr>
              <w:spacing w:line="440" w:lineRule="exact"/>
              <w:rPr>
                <w:szCs w:val="21"/>
              </w:rPr>
            </w:pPr>
            <w:r>
              <w:rPr>
                <w:rFonts w:hint="eastAsia"/>
                <w:szCs w:val="21"/>
              </w:rPr>
              <w:t>根据事业单位财务规定，甲方付款至乙方基本账户。</w:t>
            </w:r>
          </w:p>
          <w:p w14:paraId="45D4094D">
            <w:pPr>
              <w:spacing w:line="440" w:lineRule="exact"/>
              <w:rPr>
                <w:szCs w:val="21"/>
              </w:rPr>
            </w:pPr>
            <w:r>
              <w:rPr>
                <w:rFonts w:hint="eastAsia"/>
                <w:szCs w:val="21"/>
              </w:rPr>
              <w:t>乙方提供基本账户信息如下：</w:t>
            </w:r>
          </w:p>
          <w:p w14:paraId="1C8A8095">
            <w:pPr>
              <w:spacing w:line="440" w:lineRule="exact"/>
              <w:rPr>
                <w:szCs w:val="21"/>
              </w:rPr>
            </w:pPr>
            <w:r>
              <w:rPr>
                <w:rFonts w:hint="eastAsia"/>
                <w:szCs w:val="21"/>
              </w:rPr>
              <w:t>开户名：</w:t>
            </w:r>
          </w:p>
          <w:p w14:paraId="3DD8AD4E">
            <w:pPr>
              <w:spacing w:line="440" w:lineRule="exact"/>
              <w:rPr>
                <w:szCs w:val="21"/>
              </w:rPr>
            </w:pPr>
            <w:r>
              <w:rPr>
                <w:rFonts w:hint="eastAsia"/>
                <w:szCs w:val="21"/>
              </w:rPr>
              <w:t>开户银行：</w:t>
            </w:r>
          </w:p>
          <w:p w14:paraId="14B43982">
            <w:pPr>
              <w:spacing w:line="440" w:lineRule="exact"/>
              <w:rPr>
                <w:szCs w:val="21"/>
              </w:rPr>
            </w:pPr>
            <w:r>
              <w:rPr>
                <w:rFonts w:hint="eastAsia"/>
                <w:szCs w:val="21"/>
              </w:rPr>
              <w:t>账    号：</w:t>
            </w:r>
          </w:p>
          <w:p w14:paraId="18404934">
            <w:pPr>
              <w:spacing w:line="440" w:lineRule="exact"/>
              <w:rPr>
                <w:szCs w:val="21"/>
              </w:rPr>
            </w:pPr>
            <w:r>
              <w:rPr>
                <w:rFonts w:hint="eastAsia"/>
                <w:szCs w:val="21"/>
              </w:rPr>
              <w:t>统一社会信用代码：</w:t>
            </w:r>
          </w:p>
          <w:p w14:paraId="577C4924">
            <w:pPr>
              <w:spacing w:line="400" w:lineRule="exact"/>
              <w:rPr>
                <w:rFonts w:ascii="宋体" w:hAnsi="宋体" w:cs="宋体"/>
                <w:szCs w:val="21"/>
              </w:rPr>
            </w:pPr>
            <w:r>
              <w:rPr>
                <w:rFonts w:hint="eastAsia"/>
                <w:szCs w:val="21"/>
              </w:rPr>
              <w:t>乙方保证提供的基本账户信息准确无误。如乙方提供的基本账户信息有问题导致付款出错由乙方对产生的后果负责。</w:t>
            </w:r>
          </w:p>
        </w:tc>
      </w:tr>
    </w:tbl>
    <w:p w14:paraId="7B5FB194">
      <w:pPr>
        <w:pStyle w:val="3"/>
        <w:keepLines/>
        <w:autoSpaceDE/>
        <w:autoSpaceDN/>
        <w:adjustRightInd/>
        <w:jc w:val="center"/>
        <w:rPr>
          <w:rFonts w:ascii="黑体" w:hAnsi="黑体" w:eastAsia="黑体" w:cs="黑体"/>
          <w:color w:val="auto"/>
          <w:kern w:val="44"/>
          <w:sz w:val="32"/>
          <w:szCs w:val="32"/>
        </w:rPr>
        <w:sectPr>
          <w:pgSz w:w="11906" w:h="16838"/>
          <w:pgMar w:top="1440" w:right="1440" w:bottom="1440" w:left="1440" w:header="510" w:footer="680" w:gutter="0"/>
          <w:cols w:space="0" w:num="1"/>
          <w:titlePg/>
          <w:docGrid w:type="linesAndChars" w:linePitch="312" w:charSpace="0"/>
        </w:sectPr>
      </w:pPr>
    </w:p>
    <w:p w14:paraId="20D61F45">
      <w:pPr>
        <w:widowControl/>
        <w:ind w:firstLine="482"/>
        <w:jc w:val="center"/>
        <w:rPr>
          <w:rFonts w:ascii="宋体" w:hAnsi="宋体" w:cs="Arial"/>
          <w:b/>
          <w:bCs/>
          <w:sz w:val="24"/>
        </w:rPr>
      </w:pPr>
    </w:p>
    <w:p w14:paraId="1638C67D">
      <w:pPr>
        <w:rPr>
          <w:rFonts w:ascii="宋体" w:hAnsi="宋体" w:cs="宋体"/>
          <w:b/>
          <w:szCs w:val="21"/>
        </w:rPr>
      </w:pPr>
    </w:p>
    <w:p w14:paraId="3CF67A2A">
      <w:pPr>
        <w:widowControl/>
        <w:tabs>
          <w:tab w:val="left" w:pos="1210"/>
          <w:tab w:val="left" w:pos="3295"/>
          <w:tab w:val="left" w:pos="4756"/>
          <w:tab w:val="left" w:pos="5639"/>
          <w:tab w:val="left" w:pos="6648"/>
          <w:tab w:val="left" w:pos="7857"/>
        </w:tabs>
        <w:snapToGrid w:val="0"/>
        <w:jc w:val="left"/>
        <w:rPr>
          <w:rFonts w:eastAsia="方正仿宋_GBK"/>
          <w:kern w:val="0"/>
          <w:sz w:val="32"/>
          <w:szCs w:val="32"/>
          <w:u w:val="single"/>
        </w:rPr>
      </w:pPr>
      <w:r>
        <w:rPr>
          <w:rFonts w:eastAsia="方正仿宋_GBK"/>
          <w:sz w:val="32"/>
          <w:szCs w:val="32"/>
        </w:rPr>
        <w:t>合同编号：</w:t>
      </w:r>
      <w:r>
        <w:rPr>
          <w:rFonts w:eastAsia="方正仿宋_GBK"/>
          <w:kern w:val="0"/>
          <w:sz w:val="32"/>
          <w:szCs w:val="32"/>
          <w:u w:val="single"/>
        </w:rPr>
        <w:t xml:space="preserve">                </w:t>
      </w:r>
      <w:r>
        <w:rPr>
          <w:rFonts w:eastAsia="方正仿宋_GBK"/>
          <w:kern w:val="0"/>
          <w:sz w:val="32"/>
          <w:szCs w:val="32"/>
        </w:rPr>
        <w:t xml:space="preserve">                   </w:t>
      </w:r>
    </w:p>
    <w:p w14:paraId="52055ADD">
      <w:pPr>
        <w:widowControl/>
        <w:snapToGrid w:val="0"/>
        <w:spacing w:after="240"/>
        <w:jc w:val="left"/>
        <w:rPr>
          <w:rFonts w:eastAsia="方正仿宋_GBK"/>
          <w:kern w:val="0"/>
          <w:sz w:val="32"/>
          <w:szCs w:val="32"/>
        </w:rPr>
      </w:pPr>
    </w:p>
    <w:p w14:paraId="4444EE3F">
      <w:pPr>
        <w:widowControl/>
        <w:snapToGrid w:val="0"/>
        <w:spacing w:after="240"/>
        <w:jc w:val="left"/>
        <w:rPr>
          <w:rFonts w:eastAsia="方正仿宋_GBK"/>
          <w:kern w:val="0"/>
          <w:sz w:val="32"/>
          <w:szCs w:val="32"/>
        </w:rPr>
      </w:pPr>
      <w:r>
        <w:rPr>
          <w:rFonts w:eastAsia="方正仿宋_GBK"/>
          <w:kern w:val="0"/>
          <w:sz w:val="32"/>
          <w:szCs w:val="32"/>
        </w:rPr>
        <w:t>●本合同须加盖甲乙双方骑缝章有效</w:t>
      </w:r>
    </w:p>
    <w:p w14:paraId="095262F7">
      <w:pPr>
        <w:widowControl/>
        <w:snapToGrid w:val="0"/>
        <w:spacing w:after="240"/>
        <w:jc w:val="center"/>
        <w:rPr>
          <w:b/>
          <w:kern w:val="0"/>
          <w:sz w:val="39"/>
          <w:szCs w:val="39"/>
        </w:rPr>
      </w:pPr>
    </w:p>
    <w:p w14:paraId="3EA0FA45">
      <w:pPr>
        <w:widowControl/>
        <w:snapToGrid w:val="0"/>
        <w:spacing w:after="240"/>
        <w:jc w:val="center"/>
        <w:rPr>
          <w:rFonts w:eastAsia="方正黑体_GBK"/>
          <w:kern w:val="0"/>
          <w:sz w:val="52"/>
          <w:szCs w:val="52"/>
        </w:rPr>
      </w:pPr>
      <w:r>
        <w:rPr>
          <w:rFonts w:eastAsia="方正黑体_GBK"/>
          <w:kern w:val="0"/>
          <w:sz w:val="52"/>
          <w:szCs w:val="52"/>
        </w:rPr>
        <w:t>西南林业大学采购</w:t>
      </w:r>
    </w:p>
    <w:p w14:paraId="3E4137B5">
      <w:pPr>
        <w:widowControl/>
        <w:snapToGrid w:val="0"/>
        <w:spacing w:after="240"/>
        <w:jc w:val="center"/>
        <w:rPr>
          <w:rFonts w:eastAsia="方正楷体_GBK"/>
          <w:b/>
          <w:kern w:val="0"/>
          <w:sz w:val="44"/>
          <w:szCs w:val="44"/>
        </w:rPr>
      </w:pPr>
      <w:r>
        <w:rPr>
          <w:rFonts w:eastAsia="方正楷体_GBK"/>
          <w:b/>
          <w:kern w:val="0"/>
          <w:sz w:val="44"/>
          <w:szCs w:val="44"/>
        </w:rPr>
        <w:t>（</w:t>
      </w:r>
      <w:r>
        <w:rPr>
          <w:rFonts w:hint="eastAsia" w:eastAsia="方正楷体_GBK"/>
          <w:b/>
          <w:kern w:val="0"/>
          <w:sz w:val="44"/>
          <w:szCs w:val="44"/>
        </w:rPr>
        <w:t>服务</w:t>
      </w:r>
      <w:r>
        <w:rPr>
          <w:rFonts w:eastAsia="方正楷体_GBK"/>
          <w:b/>
          <w:kern w:val="0"/>
          <w:sz w:val="44"/>
          <w:szCs w:val="44"/>
        </w:rPr>
        <w:t>类）</w:t>
      </w:r>
    </w:p>
    <w:p w14:paraId="78F0AF58">
      <w:pPr>
        <w:widowControl/>
        <w:snapToGrid w:val="0"/>
        <w:spacing w:after="240"/>
        <w:jc w:val="center"/>
        <w:rPr>
          <w:b/>
          <w:kern w:val="0"/>
          <w:sz w:val="18"/>
          <w:szCs w:val="18"/>
        </w:rPr>
      </w:pPr>
    </w:p>
    <w:p w14:paraId="694E5D54">
      <w:pPr>
        <w:widowControl/>
        <w:snapToGrid w:val="0"/>
        <w:spacing w:after="240"/>
        <w:jc w:val="center"/>
        <w:rPr>
          <w:rFonts w:eastAsia="方正黑体_GBK"/>
          <w:kern w:val="0"/>
          <w:sz w:val="84"/>
          <w:szCs w:val="84"/>
        </w:rPr>
      </w:pPr>
      <w:r>
        <w:rPr>
          <w:rFonts w:eastAsia="方正黑体_GBK"/>
          <w:kern w:val="0"/>
          <w:sz w:val="84"/>
          <w:szCs w:val="84"/>
        </w:rPr>
        <w:t>合</w:t>
      </w:r>
    </w:p>
    <w:p w14:paraId="4434EFC7">
      <w:pPr>
        <w:widowControl/>
        <w:snapToGrid w:val="0"/>
        <w:spacing w:after="240"/>
        <w:jc w:val="center"/>
        <w:rPr>
          <w:rFonts w:eastAsia="方正黑体_GBK"/>
          <w:kern w:val="0"/>
          <w:sz w:val="84"/>
          <w:szCs w:val="84"/>
        </w:rPr>
      </w:pPr>
      <w:r>
        <w:rPr>
          <w:rFonts w:eastAsia="方正黑体_GBK"/>
          <w:kern w:val="0"/>
          <w:sz w:val="84"/>
          <w:szCs w:val="84"/>
        </w:rPr>
        <w:t>同</w:t>
      </w:r>
    </w:p>
    <w:p w14:paraId="40070CA1">
      <w:pPr>
        <w:widowControl/>
        <w:snapToGrid w:val="0"/>
        <w:spacing w:after="240"/>
        <w:jc w:val="center"/>
        <w:rPr>
          <w:rFonts w:eastAsia="方正黑体_GBK"/>
          <w:kern w:val="0"/>
          <w:sz w:val="84"/>
          <w:szCs w:val="84"/>
        </w:rPr>
      </w:pPr>
      <w:r>
        <w:rPr>
          <w:rFonts w:eastAsia="方正黑体_GBK"/>
          <w:kern w:val="0"/>
          <w:sz w:val="84"/>
          <w:szCs w:val="84"/>
        </w:rPr>
        <w:t>书</w:t>
      </w:r>
    </w:p>
    <w:p w14:paraId="4604B56C">
      <w:pPr>
        <w:widowControl/>
        <w:snapToGrid w:val="0"/>
        <w:spacing w:after="240"/>
        <w:jc w:val="center"/>
        <w:rPr>
          <w:kern w:val="0"/>
          <w:sz w:val="18"/>
          <w:szCs w:val="18"/>
        </w:rPr>
      </w:pPr>
    </w:p>
    <w:p w14:paraId="01884153">
      <w:pPr>
        <w:pStyle w:val="2"/>
        <w:rPr>
          <w:rFonts w:ascii="Times New Roman"/>
        </w:rPr>
      </w:pPr>
    </w:p>
    <w:p w14:paraId="762024D8">
      <w:pPr>
        <w:widowControl/>
        <w:snapToGrid w:val="0"/>
        <w:spacing w:after="240"/>
        <w:jc w:val="center"/>
        <w:rPr>
          <w:kern w:val="0"/>
          <w:sz w:val="18"/>
          <w:szCs w:val="18"/>
        </w:rPr>
      </w:pPr>
    </w:p>
    <w:p w14:paraId="64583FF0">
      <w:pPr>
        <w:widowControl/>
        <w:snapToGrid w:val="0"/>
        <w:spacing w:after="240"/>
        <w:jc w:val="center"/>
        <w:rPr>
          <w:kern w:val="0"/>
          <w:sz w:val="18"/>
          <w:szCs w:val="18"/>
        </w:rPr>
      </w:pPr>
    </w:p>
    <w:p w14:paraId="127811A4">
      <w:pPr>
        <w:autoSpaceDE w:val="0"/>
        <w:autoSpaceDN w:val="0"/>
        <w:adjustRightInd w:val="0"/>
        <w:spacing w:line="300" w:lineRule="auto"/>
        <w:jc w:val="center"/>
        <w:rPr>
          <w:rFonts w:eastAsia="方正楷体_GBK"/>
          <w:b/>
          <w:color w:val="000000"/>
          <w:kern w:val="0"/>
          <w:sz w:val="36"/>
          <w:szCs w:val="36"/>
          <w:lang w:val="zh-CN"/>
        </w:rPr>
      </w:pPr>
      <w:r>
        <w:rPr>
          <w:rFonts w:eastAsia="方正楷体_GBK"/>
          <w:b/>
          <w:color w:val="000000"/>
          <w:kern w:val="0"/>
          <w:sz w:val="36"/>
          <w:szCs w:val="36"/>
          <w:lang w:val="zh-CN"/>
        </w:rPr>
        <w:t xml:space="preserve">   签订地点:云南省昆明市</w:t>
      </w:r>
      <w:r>
        <w:rPr>
          <w:rFonts w:hint="eastAsia" w:eastAsia="方正楷体_GBK"/>
          <w:b/>
          <w:color w:val="000000"/>
          <w:kern w:val="0"/>
          <w:sz w:val="36"/>
          <w:szCs w:val="36"/>
        </w:rPr>
        <w:t>盘龙区</w:t>
      </w:r>
      <w:r>
        <w:rPr>
          <w:rFonts w:eastAsia="方正楷体_GBK"/>
          <w:b/>
          <w:color w:val="000000"/>
          <w:kern w:val="0"/>
          <w:sz w:val="36"/>
          <w:szCs w:val="36"/>
          <w:lang w:val="zh-CN"/>
        </w:rPr>
        <w:t xml:space="preserve"> </w:t>
      </w:r>
    </w:p>
    <w:p w14:paraId="4D9E9B03">
      <w:pPr>
        <w:autoSpaceDE w:val="0"/>
        <w:autoSpaceDN w:val="0"/>
        <w:adjustRightInd w:val="0"/>
        <w:spacing w:line="300" w:lineRule="auto"/>
        <w:jc w:val="center"/>
        <w:rPr>
          <w:rFonts w:eastAsia="方正楷体_GBK"/>
          <w:b/>
          <w:color w:val="000000"/>
          <w:kern w:val="0"/>
          <w:sz w:val="36"/>
          <w:szCs w:val="36"/>
          <w:lang w:val="zh-CN"/>
        </w:rPr>
      </w:pPr>
      <w:r>
        <w:rPr>
          <w:b/>
          <w:bCs/>
          <w:kern w:val="0"/>
          <w:sz w:val="36"/>
          <w:szCs w:val="36"/>
        </w:rPr>
        <w:t xml:space="preserve">  </w:t>
      </w:r>
      <w:r>
        <w:rPr>
          <w:rFonts w:eastAsia="方正楷体_GBK"/>
          <w:b/>
          <w:color w:val="000000"/>
          <w:kern w:val="0"/>
          <w:sz w:val="36"/>
          <w:szCs w:val="36"/>
          <w:lang w:val="zh-CN"/>
        </w:rPr>
        <w:t xml:space="preserve"> </w:t>
      </w:r>
    </w:p>
    <w:p w14:paraId="5FAF12DE">
      <w:pPr>
        <w:widowControl/>
        <w:snapToGrid w:val="0"/>
        <w:spacing w:after="240"/>
        <w:jc w:val="center"/>
        <w:rPr>
          <w:b/>
          <w:bCs/>
          <w:kern w:val="0"/>
          <w:sz w:val="27"/>
          <w:szCs w:val="27"/>
        </w:rPr>
      </w:pPr>
    </w:p>
    <w:p w14:paraId="5E360553">
      <w:pPr>
        <w:widowControl/>
        <w:snapToGrid w:val="0"/>
        <w:spacing w:after="240"/>
        <w:jc w:val="center"/>
        <w:rPr>
          <w:rFonts w:ascii="方正仿宋_GBK" w:eastAsia="方正仿宋_GBK"/>
          <w:b/>
          <w:bCs/>
          <w:i/>
          <w:color w:val="FF0000"/>
          <w:kern w:val="0"/>
          <w:sz w:val="27"/>
          <w:szCs w:val="27"/>
        </w:rPr>
      </w:pPr>
      <w:r>
        <w:rPr>
          <w:rFonts w:hint="eastAsia" w:ascii="方正仿宋_GBK" w:eastAsia="方正仿宋_GBK"/>
          <w:bCs/>
          <w:i/>
          <w:color w:val="FF0000"/>
          <w:kern w:val="0"/>
          <w:sz w:val="32"/>
          <w:szCs w:val="32"/>
        </w:rPr>
        <w:t>（政府采购项目本页以财政厅采购系统下发的为准）</w:t>
      </w:r>
    </w:p>
    <w:p w14:paraId="47809BA8">
      <w:pPr>
        <w:pStyle w:val="36"/>
        <w:spacing w:before="156" w:line="600" w:lineRule="exact"/>
        <w:ind w:firstLine="0" w:firstLineChars="0"/>
        <w:rPr>
          <w:rFonts w:ascii="仿宋" w:hAnsi="仿宋" w:eastAsia="仿宋" w:cs="仿宋"/>
          <w:color w:val="000000"/>
          <w:spacing w:val="0"/>
          <w:kern w:val="0"/>
          <w:sz w:val="28"/>
          <w:szCs w:val="28"/>
          <w:lang w:val="zh-CN"/>
        </w:rPr>
      </w:pPr>
      <w:r>
        <w:rPr>
          <w:rFonts w:ascii="Times New Roman"/>
          <w:b/>
          <w:bCs/>
          <w:color w:val="000000"/>
          <w:kern w:val="0"/>
          <w:sz w:val="27"/>
          <w:szCs w:val="27"/>
        </w:rPr>
        <w:br w:type="page"/>
      </w:r>
      <w:r>
        <w:rPr>
          <w:rFonts w:hint="eastAsia" w:ascii="仿宋" w:hAnsi="仿宋" w:eastAsia="仿宋" w:cs="仿宋"/>
          <w:color w:val="000000"/>
          <w:spacing w:val="0"/>
          <w:kern w:val="0"/>
          <w:sz w:val="28"/>
          <w:szCs w:val="28"/>
          <w:lang w:val="zh-CN"/>
        </w:rPr>
        <w:t>此页无正文</w:t>
      </w:r>
    </w:p>
    <w:p w14:paraId="09C80871">
      <w:pPr>
        <w:autoSpaceDE w:val="0"/>
        <w:autoSpaceDN w:val="0"/>
        <w:adjustRightInd w:val="0"/>
        <w:snapToGrid w:val="0"/>
        <w:spacing w:line="360" w:lineRule="auto"/>
        <w:rPr>
          <w:rFonts w:ascii="仿宋" w:hAnsi="仿宋" w:eastAsia="仿宋" w:cs="仿宋"/>
          <w:color w:val="000000"/>
          <w:kern w:val="0"/>
          <w:sz w:val="28"/>
          <w:szCs w:val="28"/>
          <w:lang w:val="zh-CN"/>
        </w:rPr>
      </w:pPr>
    </w:p>
    <w:p w14:paraId="27AE0F9A">
      <w:pPr>
        <w:spacing w:line="360" w:lineRule="auto"/>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甲方（采购人盖章）名  称：西南林业大学</w:t>
      </w:r>
    </w:p>
    <w:p w14:paraId="1A0715C6">
      <w:pPr>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地      址：昆明市盘龙区白龙寺300号</w:t>
      </w:r>
    </w:p>
    <w:p w14:paraId="73B03835">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邮      编：650224</w:t>
      </w:r>
    </w:p>
    <w:p w14:paraId="7A983D8A">
      <w:pPr>
        <w:autoSpaceDE w:val="0"/>
        <w:autoSpaceDN w:val="0"/>
        <w:adjustRightInd w:val="0"/>
        <w:snapToGrid w:val="0"/>
        <w:spacing w:line="360" w:lineRule="auto"/>
        <w:ind w:firstLine="280" w:firstLineChars="1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法定代表人或委托代理人：</w:t>
      </w:r>
    </w:p>
    <w:p w14:paraId="78193060">
      <w:pPr>
        <w:autoSpaceDE w:val="0"/>
        <w:autoSpaceDN w:val="0"/>
        <w:adjustRightInd w:val="0"/>
        <w:snapToGrid w:val="0"/>
        <w:spacing w:line="360" w:lineRule="auto"/>
        <w:ind w:firstLine="840" w:firstLineChars="3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项目（技术）负责人：</w:t>
      </w:r>
    </w:p>
    <w:p w14:paraId="6C5C78AB">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电      话：0871-63864002</w:t>
      </w:r>
    </w:p>
    <w:p w14:paraId="595D872F">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签订  日期：</w:t>
      </w:r>
    </w:p>
    <w:p w14:paraId="49D4DF53">
      <w:pPr>
        <w:pStyle w:val="36"/>
        <w:spacing w:before="156" w:line="360" w:lineRule="auto"/>
        <w:ind w:firstLine="560"/>
        <w:rPr>
          <w:rFonts w:ascii="仿宋" w:hAnsi="仿宋" w:eastAsia="仿宋" w:cs="仿宋"/>
          <w:color w:val="000000"/>
          <w:spacing w:val="0"/>
          <w:kern w:val="0"/>
          <w:sz w:val="28"/>
          <w:szCs w:val="28"/>
          <w:lang w:val="zh-CN"/>
        </w:rPr>
      </w:pPr>
    </w:p>
    <w:p w14:paraId="3EA05DD1">
      <w:pPr>
        <w:pStyle w:val="36"/>
        <w:spacing w:before="156" w:line="360" w:lineRule="auto"/>
        <w:ind w:firstLine="560"/>
        <w:rPr>
          <w:rFonts w:ascii="仿宋" w:hAnsi="仿宋" w:eastAsia="仿宋" w:cs="仿宋"/>
          <w:color w:val="000000"/>
          <w:spacing w:val="0"/>
          <w:kern w:val="0"/>
          <w:sz w:val="28"/>
          <w:szCs w:val="28"/>
          <w:lang w:val="zh-CN"/>
        </w:rPr>
      </w:pPr>
    </w:p>
    <w:p w14:paraId="6DE3AFAE">
      <w:pPr>
        <w:autoSpaceDE w:val="0"/>
        <w:autoSpaceDN w:val="0"/>
        <w:adjustRightInd w:val="0"/>
        <w:snapToGrid w:val="0"/>
        <w:spacing w:line="360" w:lineRule="auto"/>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乙方（供应商盖章）名  称：</w:t>
      </w:r>
    </w:p>
    <w:p w14:paraId="3A485571">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地      址：</w:t>
      </w:r>
    </w:p>
    <w:p w14:paraId="7D6B5A66">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邮      编：</w:t>
      </w:r>
    </w:p>
    <w:p w14:paraId="4862DF33">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 xml:space="preserve">法定代表人： </w:t>
      </w:r>
    </w:p>
    <w:p w14:paraId="33F8E1D3">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委托代理人：</w:t>
      </w:r>
    </w:p>
    <w:p w14:paraId="585FFE86">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电      话：</w:t>
      </w:r>
    </w:p>
    <w:p w14:paraId="186675E0">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开户  银行：</w:t>
      </w:r>
    </w:p>
    <w:p w14:paraId="4DB0303A">
      <w:pPr>
        <w:autoSpaceDE w:val="0"/>
        <w:autoSpaceDN w:val="0"/>
        <w:adjustRightInd w:val="0"/>
        <w:snapToGrid w:val="0"/>
        <w:spacing w:line="360" w:lineRule="auto"/>
        <w:ind w:firstLine="1960" w:firstLineChars="700"/>
        <w:rPr>
          <w:rFonts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账      号：</w:t>
      </w:r>
    </w:p>
    <w:p w14:paraId="0621075C">
      <w:pPr>
        <w:autoSpaceDE w:val="0"/>
        <w:autoSpaceDN w:val="0"/>
        <w:adjustRightInd w:val="0"/>
        <w:snapToGrid w:val="0"/>
        <w:spacing w:line="360" w:lineRule="auto"/>
        <w:ind w:firstLine="1960" w:firstLineChars="700"/>
        <w:rPr>
          <w:rFonts w:ascii="宋体" w:hAnsi="宋体" w:cs="宋体"/>
          <w:color w:val="000000"/>
          <w:kern w:val="0"/>
          <w:szCs w:val="21"/>
          <w:lang w:val="zh-CN"/>
        </w:rPr>
      </w:pPr>
      <w:r>
        <w:rPr>
          <w:rFonts w:hint="eastAsia" w:ascii="仿宋" w:hAnsi="仿宋" w:eastAsia="仿宋" w:cs="仿宋"/>
          <w:color w:val="000000"/>
          <w:kern w:val="0"/>
          <w:sz w:val="28"/>
          <w:szCs w:val="28"/>
          <w:lang w:val="zh-CN"/>
        </w:rPr>
        <w:t>签订  日期：</w:t>
      </w:r>
    </w:p>
    <w:p w14:paraId="1B719432">
      <w:pPr>
        <w:autoSpaceDE w:val="0"/>
        <w:autoSpaceDN w:val="0"/>
        <w:adjustRightInd w:val="0"/>
        <w:spacing w:line="360" w:lineRule="auto"/>
        <w:ind w:left="1540" w:right="-72" w:firstLine="420"/>
        <w:rPr>
          <w:rFonts w:ascii="宋体" w:hAnsi="宋体" w:cs="宋体"/>
          <w:color w:val="000000"/>
          <w:szCs w:val="21"/>
        </w:rPr>
      </w:pPr>
    </w:p>
    <w:p w14:paraId="52E16D1B">
      <w:pPr>
        <w:spacing w:line="360" w:lineRule="auto"/>
        <w:ind w:firstLine="1470" w:firstLineChars="700"/>
        <w:rPr>
          <w:rFonts w:ascii="宋体" w:hAnsi="宋体" w:cs="宋体"/>
          <w:color w:val="000000"/>
          <w:kern w:val="0"/>
          <w:szCs w:val="21"/>
        </w:rPr>
      </w:pPr>
    </w:p>
    <w:p w14:paraId="1B9504CF">
      <w:pPr>
        <w:spacing w:line="360" w:lineRule="auto"/>
        <w:ind w:firstLine="420" w:firstLineChars="200"/>
        <w:rPr>
          <w:rFonts w:ascii="宋体" w:hAnsi="宋体" w:cs="宋体"/>
          <w:color w:val="000000"/>
          <w:kern w:val="0"/>
          <w:szCs w:val="21"/>
        </w:rPr>
      </w:pPr>
    </w:p>
    <w:p w14:paraId="1B6EDAC4">
      <w:pPr>
        <w:spacing w:line="360" w:lineRule="auto"/>
        <w:ind w:firstLine="420" w:firstLineChars="200"/>
        <w:rPr>
          <w:rFonts w:ascii="宋体" w:hAnsi="宋体" w:cs="宋体"/>
          <w:color w:val="000000"/>
          <w:kern w:val="0"/>
          <w:szCs w:val="21"/>
        </w:rPr>
        <w:sectPr>
          <w:footerReference r:id="rId15" w:type="default"/>
          <w:footerReference r:id="rId16" w:type="even"/>
          <w:pgSz w:w="11906" w:h="16838"/>
          <w:pgMar w:top="1418" w:right="1418" w:bottom="1418" w:left="1418" w:header="851" w:footer="992" w:gutter="0"/>
          <w:pgNumType w:start="1" w:chapStyle="1"/>
          <w:cols w:space="720" w:num="1"/>
          <w:docGrid w:type="lines" w:linePitch="312" w:charSpace="0"/>
        </w:sectPr>
      </w:pPr>
    </w:p>
    <w:p w14:paraId="3F2E2C3B">
      <w:pPr>
        <w:spacing w:line="360" w:lineRule="auto"/>
        <w:jc w:val="center"/>
        <w:rPr>
          <w:b/>
          <w:sz w:val="32"/>
          <w:szCs w:val="32"/>
        </w:rPr>
      </w:pPr>
      <w:r>
        <w:rPr>
          <w:b/>
          <w:sz w:val="32"/>
          <w:szCs w:val="32"/>
        </w:rPr>
        <w:t>合同书样式</w:t>
      </w:r>
    </w:p>
    <w:p w14:paraId="70788A5A">
      <w:pPr>
        <w:tabs>
          <w:tab w:val="right" w:pos="8222"/>
        </w:tabs>
        <w:spacing w:line="360" w:lineRule="auto"/>
        <w:jc w:val="center"/>
        <w:rPr>
          <w:rFonts w:ascii="宋体" w:hAnsi="宋体" w:cs="宋体"/>
          <w:kern w:val="0"/>
          <w:szCs w:val="21"/>
        </w:rPr>
      </w:pPr>
      <w:r>
        <w:rPr>
          <w:bCs/>
          <w:szCs w:val="21"/>
        </w:rPr>
        <w:t>（合同模板仅供参考，以实际签订为准）</w:t>
      </w:r>
    </w:p>
    <w:p w14:paraId="3C3DCE27">
      <w:pPr>
        <w:spacing w:line="360" w:lineRule="auto"/>
        <w:ind w:firstLine="420" w:firstLineChars="200"/>
        <w:rPr>
          <w:rFonts w:ascii="宋体" w:hAnsi="宋体" w:cs="宋体"/>
          <w:kern w:val="0"/>
          <w:szCs w:val="21"/>
        </w:rPr>
      </w:pPr>
      <w:r>
        <w:rPr>
          <w:rFonts w:hint="eastAsia" w:ascii="宋体" w:hAnsi="宋体" w:cs="宋体"/>
          <w:kern w:val="0"/>
          <w:szCs w:val="21"/>
        </w:rPr>
        <w:t>甲乙双方按照《中华人民共和国民法典》及有关法律法规的规定</w:t>
      </w:r>
      <w:bookmarkStart w:id="420" w:name="_Toc29379752"/>
      <w:r>
        <w:rPr>
          <w:rFonts w:hint="eastAsia" w:ascii="宋体" w:hAnsi="宋体" w:cs="宋体"/>
          <w:kern w:val="0"/>
          <w:szCs w:val="21"/>
        </w:rPr>
        <w:t>，根据</w:t>
      </w:r>
      <w:r>
        <w:rPr>
          <w:rFonts w:hint="eastAsia" w:ascii="宋体" w:hAnsi="宋体" w:cs="宋体"/>
          <w:bCs/>
          <w:szCs w:val="21"/>
        </w:rPr>
        <w:t>编号为</w:t>
      </w:r>
      <w:r>
        <w:rPr>
          <w:rFonts w:hint="eastAsia" w:ascii="宋体" w:hAnsi="宋体" w:cs="宋体"/>
          <w:bCs/>
          <w:szCs w:val="21"/>
          <w:u w:val="single"/>
        </w:rPr>
        <w:t xml:space="preserve"> </w:t>
      </w:r>
      <w:r>
        <w:rPr>
          <w:rFonts w:hint="eastAsia" w:ascii="宋体" w:hAnsi="宋体" w:cs="宋体"/>
          <w:i/>
          <w:szCs w:val="21"/>
          <w:u w:val="single"/>
        </w:rPr>
        <w:t xml:space="preserve">      </w:t>
      </w:r>
      <w:r>
        <w:rPr>
          <w:rFonts w:hint="eastAsia" w:ascii="宋体" w:hAnsi="宋体" w:cs="宋体"/>
          <w:szCs w:val="21"/>
        </w:rPr>
        <w:t>的</w:t>
      </w:r>
      <w:r>
        <w:rPr>
          <w:rFonts w:hint="eastAsia" w:ascii="宋体" w:hAnsi="宋体" w:cs="宋体"/>
          <w:bCs/>
          <w:szCs w:val="21"/>
        </w:rPr>
        <w:t>“</w:t>
      </w:r>
      <w:r>
        <w:rPr>
          <w:rFonts w:hint="eastAsia" w:ascii="宋体" w:hAnsi="宋体" w:cs="宋体"/>
          <w:bCs/>
          <w:szCs w:val="21"/>
          <w:u w:val="single"/>
        </w:rPr>
        <w:t xml:space="preserve"> 西南林业大学机械与交通学院基于智慧树教学平台的机械类智慧课程教学资源库建设服务</w:t>
      </w:r>
      <w:r>
        <w:rPr>
          <w:rFonts w:hint="eastAsia" w:ascii="宋体" w:hAnsi="宋体" w:cs="宋体"/>
          <w:bCs/>
          <w:i/>
          <w:szCs w:val="21"/>
          <w:u w:val="single"/>
        </w:rPr>
        <w:t xml:space="preserve"> </w:t>
      </w:r>
      <w:r>
        <w:rPr>
          <w:rFonts w:hint="eastAsia" w:ascii="宋体" w:hAnsi="宋体" w:cs="宋体"/>
          <w:bCs/>
          <w:szCs w:val="21"/>
        </w:rPr>
        <w:t>”</w:t>
      </w:r>
      <w:r>
        <w:rPr>
          <w:rFonts w:hint="eastAsia" w:ascii="宋体" w:hAnsi="宋体" w:cs="宋体"/>
          <w:kern w:val="0"/>
          <w:szCs w:val="21"/>
        </w:rPr>
        <w:t>采购项目单一来源的采购结果，以及采购及响应文件相关内容，经双方协定达成一致，签订以下内容：</w:t>
      </w:r>
    </w:p>
    <w:bookmarkEnd w:id="420"/>
    <w:p w14:paraId="751CF22B">
      <w:pPr>
        <w:spacing w:line="360" w:lineRule="auto"/>
        <w:ind w:firstLine="420" w:firstLineChars="200"/>
        <w:rPr>
          <w:rFonts w:ascii="宋体" w:hAnsi="宋体" w:cs="宋体"/>
          <w:color w:val="000000"/>
          <w:szCs w:val="21"/>
        </w:rPr>
      </w:pPr>
      <w:r>
        <w:rPr>
          <w:rFonts w:hint="eastAsia" w:ascii="宋体" w:hAnsi="宋体" w:cs="宋体"/>
          <w:color w:val="000000"/>
          <w:szCs w:val="21"/>
        </w:rPr>
        <w:t>一、服务内容</w:t>
      </w:r>
    </w:p>
    <w:p w14:paraId="793FF959">
      <w:pPr>
        <w:pStyle w:val="2"/>
        <w:rPr>
          <w:rFonts w:hAnsi="宋体" w:cs="宋体"/>
          <w:sz w:val="21"/>
          <w:szCs w:val="21"/>
        </w:rPr>
      </w:pPr>
      <w:bookmarkStart w:id="421" w:name="_Toc29379755"/>
    </w:p>
    <w:p w14:paraId="185408D8">
      <w:pPr>
        <w:spacing w:line="360" w:lineRule="auto"/>
        <w:ind w:firstLine="420" w:firstLineChars="200"/>
        <w:rPr>
          <w:rFonts w:ascii="宋体" w:hAnsi="宋体" w:cs="宋体"/>
          <w:color w:val="000000"/>
          <w:szCs w:val="21"/>
        </w:rPr>
      </w:pPr>
      <w:r>
        <w:rPr>
          <w:rFonts w:hint="eastAsia" w:ascii="宋体" w:hAnsi="宋体" w:cs="宋体"/>
          <w:color w:val="000000"/>
          <w:szCs w:val="21"/>
        </w:rPr>
        <w:t>二、合同履行期限（服务期限）及服务要求</w:t>
      </w:r>
    </w:p>
    <w:p w14:paraId="68D4F745">
      <w:pPr>
        <w:widowControl/>
        <w:spacing w:line="360" w:lineRule="auto"/>
        <w:ind w:firstLine="420" w:firstLineChars="200"/>
        <w:rPr>
          <w:rFonts w:ascii="宋体" w:hAnsi="宋体" w:cs="宋体"/>
          <w:b/>
          <w:color w:val="000000"/>
          <w:kern w:val="0"/>
          <w:szCs w:val="21"/>
        </w:rPr>
      </w:pPr>
      <w:r>
        <w:rPr>
          <w:rFonts w:hint="eastAsia" w:ascii="宋体" w:hAnsi="宋体" w:cs="宋体"/>
          <w:b/>
          <w:color w:val="000000"/>
          <w:kern w:val="0"/>
          <w:szCs w:val="21"/>
        </w:rPr>
        <w:t>（一）合同履行期限（服务期限）</w:t>
      </w:r>
    </w:p>
    <w:p w14:paraId="3F46A1FE">
      <w:pPr>
        <w:autoSpaceDE w:val="0"/>
        <w:autoSpaceDN w:val="0"/>
        <w:adjustRightInd w:val="0"/>
        <w:spacing w:line="360" w:lineRule="auto"/>
        <w:ind w:firstLine="420" w:firstLineChars="200"/>
        <w:jc w:val="left"/>
        <w:rPr>
          <w:rFonts w:ascii="宋体" w:hAnsi="宋体" w:cs="宋体"/>
          <w:i/>
          <w:color w:val="FF0000"/>
          <w:szCs w:val="21"/>
        </w:rPr>
      </w:pPr>
      <w:r>
        <w:rPr>
          <w:rFonts w:hint="eastAsia"/>
        </w:rPr>
        <w:t>合同签订后40个日历天内完成。</w:t>
      </w:r>
    </w:p>
    <w:p w14:paraId="57F3999F">
      <w:pPr>
        <w:widowControl/>
        <w:spacing w:line="360" w:lineRule="auto"/>
        <w:ind w:firstLine="420" w:firstLineChars="200"/>
        <w:rPr>
          <w:rFonts w:ascii="宋体" w:hAnsi="宋体" w:cs="宋体"/>
          <w:b/>
          <w:color w:val="000000"/>
          <w:kern w:val="0"/>
          <w:szCs w:val="21"/>
        </w:rPr>
      </w:pPr>
      <w:r>
        <w:rPr>
          <w:rFonts w:hint="eastAsia" w:ascii="宋体" w:hAnsi="宋体" w:cs="宋体"/>
          <w:b/>
          <w:color w:val="000000"/>
          <w:kern w:val="0"/>
          <w:szCs w:val="21"/>
        </w:rPr>
        <w:t>（二）服务要求</w:t>
      </w:r>
    </w:p>
    <w:p w14:paraId="42853C6F">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1．</w:t>
      </w:r>
      <w:r>
        <w:rPr>
          <w:rFonts w:hint="eastAsia" w:ascii="宋体" w:hAnsi="宋体" w:cs="宋体"/>
          <w:color w:val="000000"/>
          <w:szCs w:val="21"/>
        </w:rPr>
        <w:t>资质要求</w:t>
      </w:r>
    </w:p>
    <w:p w14:paraId="4052209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w:t>
      </w:r>
      <w:r>
        <w:rPr>
          <w:rFonts w:hint="eastAsia" w:ascii="宋体" w:hAnsi="宋体" w:cs="宋体"/>
          <w:color w:val="000000"/>
          <w:szCs w:val="21"/>
        </w:rPr>
        <w:t>服务标准及要求</w:t>
      </w:r>
    </w:p>
    <w:p w14:paraId="5D938A31">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3．</w:t>
      </w:r>
      <w:r>
        <w:rPr>
          <w:rFonts w:hint="eastAsia" w:ascii="宋体" w:hAnsi="宋体" w:cs="宋体"/>
          <w:color w:val="000000"/>
          <w:szCs w:val="21"/>
        </w:rPr>
        <w:t>服务人员要求</w:t>
      </w:r>
    </w:p>
    <w:p w14:paraId="1F4652F0">
      <w:pPr>
        <w:autoSpaceDE w:val="0"/>
        <w:autoSpaceDN w:val="0"/>
        <w:adjustRightInd w:val="0"/>
        <w:spacing w:line="360" w:lineRule="auto"/>
        <w:ind w:firstLine="420" w:firstLineChars="200"/>
        <w:jc w:val="left"/>
        <w:rPr>
          <w:rFonts w:ascii="宋体" w:hAnsi="宋体" w:cs="宋体"/>
          <w:b/>
          <w:bCs/>
          <w:color w:val="000000"/>
          <w:szCs w:val="21"/>
        </w:rPr>
      </w:pPr>
      <w:r>
        <w:rPr>
          <w:rFonts w:hint="eastAsia" w:ascii="宋体" w:hAnsi="宋体" w:cs="宋体"/>
          <w:kern w:val="0"/>
          <w:szCs w:val="21"/>
        </w:rPr>
        <w:t>4．</w:t>
      </w:r>
      <w:r>
        <w:rPr>
          <w:rFonts w:hint="eastAsia" w:ascii="宋体" w:hAnsi="宋体" w:cs="宋体"/>
          <w:color w:val="000000"/>
          <w:szCs w:val="21"/>
        </w:rPr>
        <w:t>成果要求</w:t>
      </w:r>
    </w:p>
    <w:p w14:paraId="70825847">
      <w:pPr>
        <w:pStyle w:val="2"/>
        <w:rPr>
          <w:rFonts w:hAnsi="宋体" w:cs="宋体"/>
          <w:sz w:val="21"/>
          <w:szCs w:val="21"/>
        </w:rPr>
      </w:pPr>
    </w:p>
    <w:p w14:paraId="321345E2">
      <w:pPr>
        <w:spacing w:line="360" w:lineRule="auto"/>
        <w:ind w:firstLine="420" w:firstLineChars="200"/>
        <w:rPr>
          <w:rFonts w:ascii="宋体" w:hAnsi="宋体" w:cs="宋体"/>
          <w:color w:val="000000"/>
          <w:szCs w:val="21"/>
        </w:rPr>
      </w:pPr>
      <w:r>
        <w:rPr>
          <w:rFonts w:hint="eastAsia" w:ascii="宋体" w:hAnsi="宋体" w:cs="宋体"/>
          <w:color w:val="000000"/>
          <w:szCs w:val="21"/>
        </w:rPr>
        <w:t>三、合同</w:t>
      </w:r>
      <w:bookmarkEnd w:id="421"/>
      <w:r>
        <w:rPr>
          <w:rFonts w:hint="eastAsia" w:ascii="宋体" w:hAnsi="宋体" w:cs="宋体"/>
          <w:color w:val="000000"/>
          <w:szCs w:val="21"/>
        </w:rPr>
        <w:t>总价及履约保证金</w:t>
      </w:r>
    </w:p>
    <w:p w14:paraId="597A36C8">
      <w:pPr>
        <w:spacing w:line="360" w:lineRule="auto"/>
        <w:ind w:firstLine="420" w:firstLineChars="200"/>
        <w:rPr>
          <w:rFonts w:ascii="宋体" w:hAnsi="宋体" w:cs="宋体"/>
          <w:kern w:val="0"/>
          <w:szCs w:val="21"/>
        </w:rPr>
      </w:pPr>
      <w:bookmarkStart w:id="422" w:name="_Toc29379756"/>
      <w:r>
        <w:rPr>
          <w:rFonts w:hint="eastAsia" w:ascii="宋体" w:hAnsi="宋体" w:cs="宋体"/>
          <w:kern w:val="0"/>
          <w:szCs w:val="21"/>
        </w:rPr>
        <w:t>1．合同总价</w:t>
      </w:r>
    </w:p>
    <w:p w14:paraId="154F77DA">
      <w:pPr>
        <w:spacing w:line="360" w:lineRule="auto"/>
        <w:ind w:firstLine="420" w:firstLineChars="200"/>
        <w:rPr>
          <w:rFonts w:ascii="宋体" w:hAnsi="宋体" w:cs="宋体"/>
          <w:color w:val="000000"/>
          <w:kern w:val="0"/>
          <w:szCs w:val="21"/>
          <w:u w:val="single"/>
          <w:lang w:val="zh-CN"/>
        </w:rPr>
      </w:pPr>
      <w:r>
        <w:rPr>
          <w:rFonts w:hint="eastAsia" w:ascii="宋体" w:hAnsi="宋体" w:cs="宋体"/>
          <w:color w:val="000000"/>
          <w:kern w:val="0"/>
          <w:szCs w:val="21"/>
          <w:lang w:val="zh-CN"/>
        </w:rPr>
        <w:t>人民币小写：</w:t>
      </w:r>
      <w:r>
        <w:rPr>
          <w:rFonts w:hint="eastAsia" w:ascii="宋体" w:hAnsi="宋体" w:cs="宋体"/>
          <w:color w:val="000000"/>
          <w:kern w:val="0"/>
          <w:szCs w:val="21"/>
          <w:u w:val="single"/>
          <w:lang w:val="zh-CN"/>
        </w:rPr>
        <w:t xml:space="preserve">               </w:t>
      </w:r>
      <w:r>
        <w:rPr>
          <w:rFonts w:hint="eastAsia" w:ascii="宋体" w:hAnsi="宋体" w:cs="宋体"/>
          <w:color w:val="000000"/>
          <w:kern w:val="0"/>
          <w:szCs w:val="21"/>
          <w:lang w:val="zh-CN"/>
        </w:rPr>
        <w:t>（元）</w:t>
      </w:r>
    </w:p>
    <w:p w14:paraId="6B8C04D1">
      <w:pPr>
        <w:spacing w:line="360" w:lineRule="auto"/>
        <w:ind w:firstLine="1050" w:firstLineChars="500"/>
        <w:rPr>
          <w:rFonts w:ascii="宋体" w:hAnsi="宋体" w:cs="宋体"/>
          <w:b/>
          <w:bCs/>
          <w:color w:val="000000"/>
          <w:szCs w:val="21"/>
          <w:u w:val="single"/>
        </w:rPr>
      </w:pPr>
      <w:r>
        <w:rPr>
          <w:rFonts w:hint="eastAsia" w:ascii="宋体" w:hAnsi="宋体" w:cs="宋体"/>
          <w:color w:val="000000"/>
          <w:kern w:val="0"/>
          <w:szCs w:val="21"/>
          <w:lang w:val="zh-CN"/>
        </w:rPr>
        <w:t>大写：</w:t>
      </w:r>
      <w:r>
        <w:rPr>
          <w:rFonts w:hint="eastAsia" w:ascii="宋体" w:hAnsi="宋体" w:cs="宋体"/>
          <w:color w:val="000000"/>
          <w:kern w:val="0"/>
          <w:szCs w:val="21"/>
          <w:u w:val="single"/>
          <w:lang w:val="zh-CN"/>
        </w:rPr>
        <w:t xml:space="preserve">               </w:t>
      </w:r>
      <w:r>
        <w:rPr>
          <w:rFonts w:hint="eastAsia" w:ascii="宋体" w:hAnsi="宋体" w:cs="宋体"/>
          <w:color w:val="000000"/>
          <w:kern w:val="0"/>
          <w:szCs w:val="21"/>
          <w:lang w:val="zh-CN"/>
        </w:rPr>
        <w:t>（元）</w:t>
      </w:r>
    </w:p>
    <w:p w14:paraId="514455F0">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以上价格已经包含整个项目服务的全部内容，包括但不限于全过程费用、人工费、运维服务费、差旅费、培训费、管理费、利润、税金、采购代理服务费及其他一切费用，甲方不再另行支付其他任何费用。本合同执行期间合同总价款不变。</w:t>
      </w:r>
    </w:p>
    <w:p w14:paraId="21B06CBF">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kern w:val="0"/>
          <w:szCs w:val="21"/>
        </w:rPr>
        <w:t>2．</w:t>
      </w:r>
      <w:r>
        <w:rPr>
          <w:rFonts w:hint="eastAsia" w:ascii="宋体" w:hAnsi="宋体" w:cs="宋体"/>
          <w:color w:val="000000"/>
          <w:kern w:val="0"/>
          <w:szCs w:val="21"/>
        </w:rPr>
        <w:t>履约保证金</w:t>
      </w:r>
    </w:p>
    <w:p w14:paraId="3477D433">
      <w:pPr>
        <w:autoSpaceDE w:val="0"/>
        <w:autoSpaceDN w:val="0"/>
        <w:adjustRightInd w:val="0"/>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本项目不收取履约保证金</w:t>
      </w:r>
    </w:p>
    <w:p w14:paraId="172D9643">
      <w:pPr>
        <w:spacing w:line="360" w:lineRule="auto"/>
        <w:ind w:firstLine="420" w:firstLineChars="200"/>
        <w:rPr>
          <w:rFonts w:ascii="宋体" w:hAnsi="宋体" w:cs="宋体"/>
          <w:color w:val="000000"/>
          <w:szCs w:val="21"/>
        </w:rPr>
      </w:pPr>
      <w:r>
        <w:rPr>
          <w:rFonts w:hint="eastAsia" w:ascii="宋体" w:hAnsi="宋体" w:cs="宋体"/>
          <w:color w:val="000000"/>
          <w:szCs w:val="21"/>
        </w:rPr>
        <w:t>四、甲乙双方的权利和义务</w:t>
      </w:r>
      <w:bookmarkEnd w:id="422"/>
    </w:p>
    <w:p w14:paraId="5ADC2644">
      <w:pPr>
        <w:widowControl/>
        <w:spacing w:line="360" w:lineRule="auto"/>
        <w:ind w:firstLine="420" w:firstLineChars="200"/>
        <w:rPr>
          <w:rFonts w:ascii="宋体" w:hAnsi="宋体" w:cs="宋体"/>
          <w:b/>
          <w:color w:val="000000"/>
          <w:kern w:val="0"/>
          <w:szCs w:val="21"/>
        </w:rPr>
      </w:pPr>
      <w:r>
        <w:rPr>
          <w:rFonts w:hint="eastAsia" w:ascii="宋体" w:hAnsi="宋体" w:cs="宋体"/>
          <w:b/>
          <w:color w:val="000000"/>
          <w:kern w:val="0"/>
          <w:szCs w:val="21"/>
        </w:rPr>
        <w:t>（一）甲方的权利和义务</w:t>
      </w:r>
    </w:p>
    <w:p w14:paraId="0E9F13FA">
      <w:pPr>
        <w:widowControl/>
        <w:spacing w:line="360" w:lineRule="auto"/>
        <w:ind w:firstLine="420" w:firstLineChars="200"/>
        <w:rPr>
          <w:rFonts w:ascii="宋体" w:hAnsi="宋体" w:cs="宋体"/>
          <w:b/>
          <w:color w:val="000000"/>
          <w:kern w:val="0"/>
          <w:szCs w:val="21"/>
        </w:rPr>
      </w:pPr>
      <w:r>
        <w:rPr>
          <w:rFonts w:hint="eastAsia" w:ascii="宋体" w:hAnsi="宋体" w:cs="宋体"/>
          <w:kern w:val="0"/>
          <w:szCs w:val="21"/>
        </w:rPr>
        <w:t>1．甲方有权对乙方服务工作进行考核与监督，甲方根据采购文件、响应文件提出整改意见的，乙方应当无条件进行整改直至满足甲方要求。</w:t>
      </w:r>
    </w:p>
    <w:p w14:paraId="48C13269">
      <w:pPr>
        <w:widowControl/>
        <w:spacing w:line="360" w:lineRule="auto"/>
        <w:ind w:firstLine="420" w:firstLineChars="200"/>
        <w:rPr>
          <w:rFonts w:ascii="宋体" w:hAnsi="宋体" w:cs="宋体"/>
          <w:kern w:val="0"/>
          <w:szCs w:val="21"/>
        </w:rPr>
      </w:pPr>
      <w:r>
        <w:rPr>
          <w:rFonts w:hint="eastAsia" w:ascii="宋体" w:hAnsi="宋体" w:cs="宋体"/>
          <w:kern w:val="0"/>
          <w:szCs w:val="21"/>
        </w:rPr>
        <w:t>2．甲方按照本合同约定按时足额支付约定的服务费用。</w:t>
      </w:r>
    </w:p>
    <w:p w14:paraId="0EC22B12">
      <w:pPr>
        <w:widowControl/>
        <w:spacing w:line="360" w:lineRule="auto"/>
        <w:ind w:firstLine="420" w:firstLineChars="200"/>
        <w:rPr>
          <w:rFonts w:ascii="宋体" w:hAnsi="宋体" w:cs="宋体"/>
          <w:kern w:val="0"/>
          <w:szCs w:val="21"/>
        </w:rPr>
      </w:pPr>
      <w:r>
        <w:rPr>
          <w:rFonts w:hint="eastAsia" w:ascii="宋体" w:hAnsi="宋体" w:cs="宋体"/>
          <w:kern w:val="0"/>
          <w:szCs w:val="21"/>
        </w:rPr>
        <w:t>3．协调配合乙方的工作，为服务中各项工作的开展提供必要的便利条件。</w:t>
      </w:r>
    </w:p>
    <w:p w14:paraId="7E011C79">
      <w:pPr>
        <w:widowControl/>
        <w:ind w:firstLine="420" w:firstLineChars="200"/>
        <w:rPr>
          <w:rFonts w:ascii="宋体" w:hAnsi="宋体" w:cs="宋体"/>
          <w:kern w:val="0"/>
          <w:szCs w:val="21"/>
        </w:rPr>
      </w:pPr>
      <w:r>
        <w:rPr>
          <w:rFonts w:hint="eastAsia" w:ascii="宋体" w:hAnsi="宋体" w:cs="宋体"/>
          <w:b/>
          <w:color w:val="000000"/>
          <w:kern w:val="0"/>
          <w:szCs w:val="21"/>
        </w:rPr>
        <w:t>（二）乙方的权利和义务</w:t>
      </w:r>
    </w:p>
    <w:p w14:paraId="7AC292F0">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kern w:val="0"/>
          <w:szCs w:val="21"/>
        </w:rPr>
        <w:t>1．乙方</w:t>
      </w:r>
      <w:r>
        <w:rPr>
          <w:rFonts w:hint="eastAsia" w:ascii="宋体" w:hAnsi="宋体" w:cs="宋体"/>
          <w:color w:val="000000"/>
          <w:szCs w:val="21"/>
        </w:rPr>
        <w:t>对服务工作及结论的真实性、合法性和准确性负责，若因乙方故意或重大过失出具报告及结论导致甲方损失的，乙方应赔偿甲方因此受到的损失。</w:t>
      </w:r>
    </w:p>
    <w:p w14:paraId="051672F5">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kern w:val="0"/>
          <w:szCs w:val="21"/>
        </w:rPr>
        <w:t>2．</w:t>
      </w:r>
      <w:r>
        <w:rPr>
          <w:rFonts w:hint="eastAsia" w:ascii="宋体" w:hAnsi="宋体" w:cs="宋体"/>
          <w:color w:val="000000"/>
          <w:szCs w:val="21"/>
        </w:rPr>
        <w:t>乙方不得向第三方或在本合同的目的之外扩散、转让甲方提供的资料和文件。</w:t>
      </w:r>
    </w:p>
    <w:p w14:paraId="2E979033">
      <w:pPr>
        <w:pStyle w:val="2"/>
        <w:ind w:firstLine="420" w:firstLineChars="200"/>
        <w:rPr>
          <w:rFonts w:hAnsi="宋体" w:cs="宋体"/>
          <w:color w:val="auto"/>
          <w:sz w:val="21"/>
          <w:szCs w:val="21"/>
        </w:rPr>
      </w:pPr>
      <w:r>
        <w:rPr>
          <w:rFonts w:hint="eastAsia" w:hAnsi="宋体" w:cs="宋体"/>
          <w:color w:val="auto"/>
          <w:kern w:val="0"/>
          <w:sz w:val="21"/>
          <w:szCs w:val="21"/>
          <w:lang w:val="en-US" w:eastAsia="zh-CN"/>
        </w:rPr>
        <w:t>3</w:t>
      </w:r>
      <w:r>
        <w:rPr>
          <w:rFonts w:hint="eastAsia" w:hAnsi="宋体" w:cs="宋体"/>
          <w:color w:val="auto"/>
          <w:kern w:val="0"/>
          <w:sz w:val="21"/>
          <w:szCs w:val="21"/>
        </w:rPr>
        <w:t>．</w:t>
      </w:r>
      <w:r>
        <w:rPr>
          <w:rFonts w:hint="eastAsia" w:hAnsi="宋体" w:cs="宋体"/>
          <w:color w:val="auto"/>
          <w:sz w:val="21"/>
          <w:szCs w:val="21"/>
        </w:rPr>
        <w:t>乙方所提供的服务必须符合行业所通行的专业标准与规定，并符合甲方要求。</w:t>
      </w:r>
    </w:p>
    <w:p w14:paraId="0C18795B">
      <w:pPr>
        <w:pStyle w:val="2"/>
        <w:ind w:firstLine="420" w:firstLineChars="200"/>
        <w:rPr>
          <w:rFonts w:hAnsi="宋体" w:cs="宋体"/>
          <w:color w:val="auto"/>
          <w:sz w:val="21"/>
          <w:szCs w:val="21"/>
        </w:rPr>
      </w:pPr>
      <w:r>
        <w:rPr>
          <w:rFonts w:hint="eastAsia" w:hAnsi="宋体" w:cs="宋体"/>
          <w:color w:val="auto"/>
          <w:kern w:val="0"/>
          <w:sz w:val="21"/>
          <w:szCs w:val="21"/>
          <w:lang w:val="en-US" w:eastAsia="zh-CN"/>
        </w:rPr>
        <w:t>4</w:t>
      </w:r>
      <w:r>
        <w:rPr>
          <w:rFonts w:hint="eastAsia" w:hAnsi="宋体" w:cs="宋体"/>
          <w:color w:val="auto"/>
          <w:kern w:val="0"/>
          <w:sz w:val="21"/>
          <w:szCs w:val="21"/>
        </w:rPr>
        <w:t>．</w:t>
      </w:r>
      <w:r>
        <w:rPr>
          <w:rFonts w:hint="eastAsia" w:hAnsi="宋体" w:cs="宋体"/>
          <w:color w:val="auto"/>
          <w:sz w:val="21"/>
          <w:szCs w:val="21"/>
        </w:rPr>
        <w:t>乙方需保证所提供服务的全部人员都具备完成本项目所需的资格、资质和能力，达到满足项目所需要的专业水平。未经甲方同意不得更换、减少主要人员。</w:t>
      </w:r>
    </w:p>
    <w:p w14:paraId="7516CFE2">
      <w:pPr>
        <w:pStyle w:val="2"/>
        <w:ind w:firstLine="420" w:firstLineChars="200"/>
        <w:rPr>
          <w:rFonts w:hAnsi="宋体" w:cs="宋体"/>
          <w:color w:val="000000"/>
          <w:sz w:val="21"/>
          <w:szCs w:val="21"/>
        </w:rPr>
      </w:pPr>
      <w:r>
        <w:rPr>
          <w:rFonts w:hint="eastAsia" w:hAnsi="宋体" w:cs="宋体"/>
          <w:color w:val="auto"/>
          <w:kern w:val="0"/>
          <w:sz w:val="21"/>
          <w:szCs w:val="21"/>
          <w:lang w:val="en-US" w:eastAsia="zh-CN"/>
        </w:rPr>
        <w:t>5</w:t>
      </w:r>
      <w:r>
        <w:rPr>
          <w:rFonts w:hint="eastAsia" w:hAnsi="宋体" w:cs="宋体"/>
          <w:color w:val="auto"/>
          <w:kern w:val="0"/>
          <w:sz w:val="21"/>
          <w:szCs w:val="21"/>
        </w:rPr>
        <w:t>．</w:t>
      </w:r>
      <w:r>
        <w:rPr>
          <w:rFonts w:hint="eastAsia" w:hAnsi="宋体" w:cs="宋体"/>
          <w:color w:val="000000"/>
          <w:sz w:val="21"/>
          <w:szCs w:val="21"/>
        </w:rPr>
        <w:t>乙方负责对其所派出的人员购买保险并足额发放工资，并承担因乙方人员人身或财产损失而产生的索赔和费用。甲方不对乙方人员承担任何责任和费用。</w:t>
      </w:r>
    </w:p>
    <w:p w14:paraId="2B926CC9">
      <w:pPr>
        <w:spacing w:line="360" w:lineRule="auto"/>
        <w:ind w:firstLine="420" w:firstLineChars="200"/>
        <w:rPr>
          <w:rFonts w:ascii="宋体" w:hAnsi="宋体" w:cs="宋体"/>
          <w:szCs w:val="21"/>
        </w:rPr>
      </w:pPr>
      <w:r>
        <w:rPr>
          <w:rFonts w:hint="eastAsia" w:ascii="宋体" w:hAnsi="宋体" w:cs="宋体"/>
          <w:color w:val="000000"/>
          <w:szCs w:val="21"/>
        </w:rPr>
        <w:t>五、以上内容与甲方确认采购和乙方中标（成交）承诺情况一致并不得改变或放弃。</w:t>
      </w:r>
    </w:p>
    <w:p w14:paraId="6874CFE1">
      <w:pPr>
        <w:spacing w:line="360" w:lineRule="auto"/>
        <w:ind w:firstLine="420" w:firstLineChars="200"/>
        <w:rPr>
          <w:rFonts w:ascii="宋体" w:hAnsi="宋体" w:cs="宋体"/>
          <w:color w:val="000000"/>
          <w:szCs w:val="21"/>
        </w:rPr>
      </w:pPr>
      <w:r>
        <w:rPr>
          <w:rFonts w:hint="eastAsia" w:ascii="宋体" w:hAnsi="宋体" w:cs="宋体"/>
          <w:color w:val="000000"/>
          <w:szCs w:val="21"/>
        </w:rPr>
        <w:t>六、验收及验收标准</w:t>
      </w:r>
    </w:p>
    <w:p w14:paraId="6AD486B1">
      <w:pPr>
        <w:widowControl/>
        <w:tabs>
          <w:tab w:val="left" w:pos="5775"/>
        </w:tabs>
        <w:spacing w:line="360" w:lineRule="auto"/>
        <w:ind w:firstLine="420" w:firstLineChars="200"/>
        <w:jc w:val="left"/>
        <w:rPr>
          <w:rFonts w:ascii="宋体" w:hAnsi="宋体" w:cs="宋体"/>
          <w:color w:val="000000"/>
          <w:szCs w:val="21"/>
        </w:rPr>
      </w:pPr>
      <w:r>
        <w:rPr>
          <w:rFonts w:hint="eastAsia" w:ascii="宋体" w:hAnsi="宋体" w:cs="宋体"/>
          <w:color w:val="000000"/>
          <w:kern w:val="0"/>
          <w:szCs w:val="21"/>
        </w:rPr>
        <w:t>按《西南林业大学采购履约验收管理办法》组织验收</w:t>
      </w:r>
    </w:p>
    <w:p w14:paraId="11D5BCB8">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甲方按合同内容享受乙方提供的服务，具体的验收标准和要求如下：乙方完成响应文件的全部项目内容并由甲方线上测试运行正常。</w:t>
      </w:r>
    </w:p>
    <w:p w14:paraId="711DA4C0">
      <w:pPr>
        <w:spacing w:line="360" w:lineRule="auto"/>
        <w:ind w:firstLine="420" w:firstLineChars="200"/>
      </w:pPr>
      <w:r>
        <w:rPr>
          <w:rFonts w:hint="eastAsia" w:ascii="宋体" w:hAnsi="宋体" w:cs="宋体"/>
          <w:color w:val="000000"/>
          <w:szCs w:val="21"/>
        </w:rPr>
        <w:t>乙方按照服务标准完成项目的建设，课程上线并正常运行7个日历天，无性能瓶颈或故障、满足甲方使用条件后，乙方向甲方提交验收申请，一次性验收通过后投入使用。甲方完成付款后，知识产权移交甲方。</w:t>
      </w:r>
    </w:p>
    <w:p w14:paraId="0A0EB125">
      <w:pPr>
        <w:spacing w:line="360" w:lineRule="auto"/>
        <w:ind w:firstLine="420" w:firstLineChars="200"/>
        <w:rPr>
          <w:rFonts w:ascii="宋体" w:hAnsi="宋体" w:cs="宋体"/>
          <w:color w:val="000000"/>
          <w:szCs w:val="21"/>
        </w:rPr>
      </w:pPr>
      <w:r>
        <w:rPr>
          <w:rFonts w:hint="eastAsia" w:ascii="宋体" w:hAnsi="宋体" w:cs="宋体"/>
          <w:color w:val="000000"/>
          <w:szCs w:val="21"/>
        </w:rPr>
        <w:t>七、合同价款结算</w:t>
      </w:r>
    </w:p>
    <w:p w14:paraId="315AD629">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本项目无预付款，甲方在按合同验收标准验收合格，乙方提供符合税务机关要求的正规增值税发票，并履行完相关财务报销手续，财务审核通过后的10个工作日内完成款项支付。</w:t>
      </w:r>
    </w:p>
    <w:p w14:paraId="019BE39F">
      <w:pPr>
        <w:widowControl/>
        <w:spacing w:line="360" w:lineRule="auto"/>
        <w:ind w:firstLine="420" w:firstLineChars="200"/>
        <w:jc w:val="left"/>
        <w:rPr>
          <w:rFonts w:ascii="宋体" w:hAnsi="宋体" w:cs="宋体"/>
          <w:color w:val="FF0000"/>
          <w:kern w:val="0"/>
          <w:szCs w:val="21"/>
        </w:rPr>
      </w:pPr>
      <w:r>
        <w:rPr>
          <w:rFonts w:hint="eastAsia" w:ascii="宋体" w:hAnsi="宋体" w:cs="宋体"/>
          <w:kern w:val="0"/>
          <w:szCs w:val="21"/>
        </w:rPr>
        <w:t>若因乙方未通过验收或提交不符合甲方及税务机关要求的正规增值税发票导致无法正常付款的，相关责任及后果由乙方自行承担。</w:t>
      </w:r>
    </w:p>
    <w:p w14:paraId="700A5E2D">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根据事业单位财务规定，甲方付款至乙方基本账户。</w:t>
      </w:r>
    </w:p>
    <w:p w14:paraId="6F89E1A7">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乙方提供基本账户信息如下：</w:t>
      </w:r>
    </w:p>
    <w:p w14:paraId="5CE8253E">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开户名：</w:t>
      </w:r>
    </w:p>
    <w:p w14:paraId="217E90D8">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开户银行：</w:t>
      </w:r>
    </w:p>
    <w:p w14:paraId="038A62ED">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账    号：</w:t>
      </w:r>
    </w:p>
    <w:p w14:paraId="4433890C">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统一社会信用代码：</w:t>
      </w:r>
    </w:p>
    <w:p w14:paraId="1902F4B9">
      <w:pPr>
        <w:spacing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乙方保证提供的基本账户信息准确无误。如乙方提供的基本账户信息有问题导致付款出错由乙方对产生的后果负责。</w:t>
      </w:r>
    </w:p>
    <w:p w14:paraId="574C44B7">
      <w:pPr>
        <w:widowControl/>
        <w:spacing w:line="360" w:lineRule="auto"/>
        <w:ind w:firstLine="420" w:firstLineChars="200"/>
        <w:jc w:val="left"/>
        <w:rPr>
          <w:rFonts w:ascii="宋体" w:hAnsi="宋体" w:cs="宋体"/>
          <w:kern w:val="0"/>
          <w:szCs w:val="21"/>
        </w:rPr>
      </w:pPr>
      <w:r>
        <w:rPr>
          <w:rFonts w:hint="eastAsia" w:ascii="宋体" w:hAnsi="宋体" w:cs="宋体"/>
          <w:color w:val="000000"/>
          <w:szCs w:val="21"/>
        </w:rPr>
        <w:t>八、违约责任</w:t>
      </w:r>
    </w:p>
    <w:p w14:paraId="60123923">
      <w:pPr>
        <w:widowControl/>
        <w:spacing w:line="360" w:lineRule="auto"/>
        <w:ind w:firstLine="420" w:firstLineChars="200"/>
        <w:jc w:val="left"/>
        <w:rPr>
          <w:rFonts w:ascii="宋体" w:hAnsi="宋体" w:cs="宋体"/>
          <w:szCs w:val="21"/>
        </w:rPr>
      </w:pPr>
      <w:r>
        <w:rPr>
          <w:rFonts w:hint="eastAsia" w:ascii="宋体" w:hAnsi="宋体" w:cs="宋体"/>
          <w:kern w:val="0"/>
          <w:szCs w:val="21"/>
        </w:rPr>
        <w:t>1．</w:t>
      </w:r>
      <w:r>
        <w:rPr>
          <w:rFonts w:hint="eastAsia" w:ascii="宋体" w:hAnsi="宋体" w:cs="宋体"/>
          <w:color w:val="000000"/>
          <w:szCs w:val="21"/>
        </w:rPr>
        <w:t>乙方未能履行合同义务，不能达到甲方要求的管理目标，甲</w:t>
      </w:r>
      <w:r>
        <w:rPr>
          <w:rFonts w:hint="eastAsia" w:ascii="宋体" w:hAnsi="宋体" w:cs="宋体"/>
          <w:kern w:val="0"/>
          <w:szCs w:val="21"/>
        </w:rPr>
        <w:t>方有权追究乙方违约与赔偿责任或终止合同。</w:t>
      </w:r>
    </w:p>
    <w:p w14:paraId="626C3D94">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2．乙方服务期间人员、质量、服务成果、专业能力等达不到合同约定标准或者甲方要求的，甲方有权要求乙方无条件进行整改，直至达到整改要求。</w:t>
      </w:r>
    </w:p>
    <w:p w14:paraId="3184D5A0">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3．甲方对乙方及乙方人员的一切个人或公司行为所引起的法律后果不承担任何责任，由乙方自行负责解决处理。甲方对乙方人员执行工作任务期间，违反法律法规或甲方规定所引起的法律后果不承担任何责任，由乙方自行负责解决处理。</w:t>
      </w:r>
    </w:p>
    <w:p w14:paraId="1AB3BE31">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4．未经甲方书面同意，乙方不得将业务转包给第三方，否则甲方可单方面解除合同，乙方</w:t>
      </w:r>
      <w:r>
        <w:rPr>
          <w:rFonts w:hint="eastAsia" w:ascii="宋体" w:hAnsi="宋体" w:cs="宋体"/>
          <w:color w:val="000000"/>
          <w:kern w:val="0"/>
          <w:szCs w:val="21"/>
        </w:rPr>
        <w:t>须赔偿其违约给甲方造成的直接及间接经济损失</w:t>
      </w:r>
      <w:r>
        <w:rPr>
          <w:rFonts w:hint="eastAsia" w:ascii="宋体" w:hAnsi="宋体" w:cs="宋体"/>
          <w:kern w:val="0"/>
          <w:szCs w:val="21"/>
        </w:rPr>
        <w:t>。</w:t>
      </w:r>
    </w:p>
    <w:p w14:paraId="059D9D5A">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5．乙方保证其提供的工作成果不存在侵犯任何第三方权益的情形存在，否则承担全部责任，因此导致甲方涉诉，还应承担甲方因此支出的全部费用并向甲方支付合同总价款20%的违约金。</w:t>
      </w:r>
    </w:p>
    <w:p w14:paraId="2D26465D">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6．</w:t>
      </w:r>
      <w:r>
        <w:rPr>
          <w:rFonts w:hint="eastAsia" w:ascii="宋体" w:hAnsi="宋体" w:cs="宋体"/>
          <w:color w:val="000000"/>
          <w:szCs w:val="21"/>
        </w:rPr>
        <w:t>若其中一方违约，违约方除按本合同约定向守约方承担违约责任外，还应承担守约方为主张权利而发生的律师费、诉讼费、保全费、保全保险费、调查取证费、差旅费等为获得违约赔偿支出的一切费用。若违约金未能弥补守约方损失的，违约方还应承担赔偿责任。</w:t>
      </w:r>
    </w:p>
    <w:p w14:paraId="5B71B5F6">
      <w:pPr>
        <w:widowControl/>
        <w:spacing w:line="360" w:lineRule="auto"/>
        <w:ind w:firstLine="420" w:firstLineChars="200"/>
        <w:jc w:val="left"/>
        <w:rPr>
          <w:rFonts w:ascii="宋体" w:hAnsi="宋体" w:cs="宋体"/>
          <w:i/>
          <w:color w:val="FF0000"/>
          <w:szCs w:val="21"/>
        </w:rPr>
      </w:pPr>
      <w:r>
        <w:rPr>
          <w:rFonts w:hint="eastAsia" w:ascii="宋体" w:hAnsi="宋体" w:cs="宋体"/>
          <w:kern w:val="0"/>
          <w:szCs w:val="21"/>
        </w:rPr>
        <w:t>7．乙方应支付的违约金、赔偿金等任何款项，甲方有权直接从合同款项、履约保证金等直接扣除，并就不足部分继续追偿。</w:t>
      </w:r>
    </w:p>
    <w:p w14:paraId="4D98BBE8">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九、甲方有权拒付合同价以外的任何费用；乙方有权拒绝合同整体范围以外的条件。</w:t>
      </w:r>
    </w:p>
    <w:p w14:paraId="26088BFD">
      <w:pPr>
        <w:spacing w:line="360" w:lineRule="auto"/>
        <w:ind w:firstLine="420" w:firstLineChars="200"/>
        <w:rPr>
          <w:rFonts w:ascii="宋体" w:hAnsi="宋体" w:cs="宋体"/>
          <w:color w:val="000000"/>
          <w:szCs w:val="21"/>
        </w:rPr>
      </w:pPr>
      <w:r>
        <w:rPr>
          <w:rFonts w:hint="eastAsia" w:ascii="宋体" w:hAnsi="宋体" w:cs="宋体"/>
          <w:color w:val="000000"/>
          <w:szCs w:val="21"/>
        </w:rPr>
        <w:t>十、甲乙双方在履行合同过程中发生纠纷，应及时向有关监督管理部门反映，以便相关部门进行协调或处理；也可以直接向甲方所在地有管辖权的人民法院提起诉讼。</w:t>
      </w:r>
    </w:p>
    <w:p w14:paraId="3716CCF7">
      <w:pPr>
        <w:spacing w:line="360" w:lineRule="auto"/>
        <w:ind w:firstLine="420" w:firstLineChars="200"/>
        <w:rPr>
          <w:rFonts w:ascii="宋体" w:hAnsi="宋体" w:cs="宋体"/>
          <w:color w:val="000000"/>
          <w:szCs w:val="21"/>
        </w:rPr>
      </w:pPr>
      <w:r>
        <w:rPr>
          <w:rFonts w:hint="eastAsia" w:ascii="宋体" w:hAnsi="宋体" w:cs="宋体"/>
          <w:color w:val="000000"/>
          <w:szCs w:val="21"/>
        </w:rPr>
        <w:t>十一、本合同其他未尽事宜，按《中华人民共和国民法典》有关规定处理。本合同在履行过程中，若遇有政府行为或不可抗拒的因素而影响本合同正常履行或某一方需要修改、变更合同内容时，甲乙双方应进行协商，协商后所订立的书面补充条款或补充协议与本合同具有同等效力。</w:t>
      </w:r>
    </w:p>
    <w:p w14:paraId="2C46EA1C">
      <w:pPr>
        <w:spacing w:line="360" w:lineRule="auto"/>
        <w:ind w:firstLine="420" w:firstLineChars="200"/>
        <w:rPr>
          <w:rFonts w:ascii="宋体" w:hAnsi="宋体" w:cs="宋体"/>
          <w:color w:val="000000"/>
          <w:szCs w:val="21"/>
        </w:rPr>
      </w:pPr>
      <w:r>
        <w:rPr>
          <w:rFonts w:hint="eastAsia" w:ascii="宋体" w:hAnsi="宋体" w:cs="宋体"/>
          <w:color w:val="000000"/>
          <w:szCs w:val="21"/>
        </w:rPr>
        <w:t>十二、本合同一式肆份，甲方叁份，乙方壹份。</w:t>
      </w:r>
    </w:p>
    <w:p w14:paraId="4A729384">
      <w:pPr>
        <w:spacing w:line="360" w:lineRule="auto"/>
        <w:ind w:firstLine="420" w:firstLineChars="200"/>
        <w:rPr>
          <w:rFonts w:ascii="宋体" w:hAnsi="宋体" w:cs="宋体"/>
          <w:color w:val="000000"/>
          <w:szCs w:val="21"/>
        </w:rPr>
      </w:pPr>
      <w:r>
        <w:rPr>
          <w:rFonts w:hint="eastAsia" w:ascii="宋体" w:hAnsi="宋体" w:cs="宋体"/>
          <w:color w:val="000000"/>
          <w:szCs w:val="21"/>
        </w:rPr>
        <w:t>十三、本合同自甲乙双方法定代表人（负责人）或委托代理人签名并加盖公章之日起生效。</w:t>
      </w:r>
    </w:p>
    <w:p w14:paraId="5A780606">
      <w:pPr>
        <w:spacing w:line="360" w:lineRule="auto"/>
        <w:ind w:firstLine="420" w:firstLineChars="200"/>
        <w:rPr>
          <w:rFonts w:ascii="宋体" w:hAnsi="宋体" w:cs="宋体"/>
          <w:color w:val="000000"/>
          <w:szCs w:val="21"/>
        </w:rPr>
      </w:pPr>
      <w:r>
        <w:rPr>
          <w:rFonts w:hint="eastAsia" w:ascii="宋体" w:hAnsi="宋体" w:cs="宋体"/>
          <w:color w:val="000000"/>
          <w:szCs w:val="21"/>
        </w:rPr>
        <w:t>十四、本合同不可分割之部分及解释顺序</w:t>
      </w:r>
      <w:r>
        <w:rPr>
          <w:rFonts w:hint="eastAsia" w:ascii="宋体" w:hAnsi="宋体" w:cs="宋体"/>
          <w:szCs w:val="21"/>
        </w:rPr>
        <w:t>（如有）</w:t>
      </w:r>
    </w:p>
    <w:p w14:paraId="1B8EA220">
      <w:pPr>
        <w:autoSpaceDE w:val="0"/>
        <w:autoSpaceDN w:val="0"/>
        <w:adjustRightInd w:val="0"/>
        <w:spacing w:line="360" w:lineRule="auto"/>
        <w:ind w:firstLine="420" w:firstLineChars="200"/>
        <w:jc w:val="left"/>
        <w:rPr>
          <w:rFonts w:ascii="宋体" w:hAnsi="宋体" w:cs="宋体"/>
          <w:szCs w:val="21"/>
          <w:highlight w:val="yellow"/>
        </w:rPr>
      </w:pPr>
      <w:r>
        <w:rPr>
          <w:rFonts w:hint="eastAsia" w:ascii="宋体" w:hAnsi="宋体" w:cs="宋体"/>
          <w:color w:val="000000"/>
          <w:szCs w:val="21"/>
        </w:rPr>
        <w:t>1．合同书及附件；</w:t>
      </w:r>
    </w:p>
    <w:p w14:paraId="308CBA56">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2．中标（成交）通知书；</w:t>
      </w:r>
    </w:p>
    <w:p w14:paraId="5B9B3575">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3．中标（成交）供应商投标（响应）文件；</w:t>
      </w:r>
    </w:p>
    <w:p w14:paraId="20432446">
      <w:pPr>
        <w:autoSpaceDE w:val="0"/>
        <w:autoSpaceDN w:val="0"/>
        <w:adjustRightInd w:val="0"/>
        <w:spacing w:line="360" w:lineRule="auto"/>
        <w:ind w:firstLine="420" w:firstLineChars="200"/>
        <w:jc w:val="left"/>
        <w:rPr>
          <w:rFonts w:ascii="宋体" w:hAnsi="宋体" w:cs="宋体"/>
          <w:color w:val="000000"/>
          <w:szCs w:val="21"/>
        </w:rPr>
      </w:pPr>
      <w:r>
        <w:rPr>
          <w:rFonts w:hint="eastAsia" w:ascii="宋体" w:hAnsi="宋体" w:cs="宋体"/>
          <w:color w:val="000000"/>
          <w:szCs w:val="21"/>
        </w:rPr>
        <w:t>4．采购文件。</w:t>
      </w:r>
    </w:p>
    <w:p w14:paraId="2D0F684C">
      <w:pPr>
        <w:spacing w:line="360" w:lineRule="auto"/>
        <w:ind w:firstLine="420" w:firstLineChars="200"/>
        <w:rPr>
          <w:rFonts w:ascii="宋体" w:hAnsi="宋体" w:cs="宋体"/>
          <w:color w:val="000000"/>
          <w:szCs w:val="21"/>
        </w:rPr>
      </w:pPr>
      <w:r>
        <w:rPr>
          <w:rFonts w:hint="eastAsia" w:ascii="宋体" w:hAnsi="宋体" w:cs="宋体"/>
          <w:color w:val="000000"/>
          <w:szCs w:val="21"/>
        </w:rPr>
        <w:t>十五、附件名称</w:t>
      </w:r>
    </w:p>
    <w:p w14:paraId="76ED8348">
      <w:pPr>
        <w:widowControl/>
        <w:jc w:val="left"/>
        <w:rPr>
          <w:rFonts w:ascii="宋体" w:hAnsi="宋体" w:cs="宋体"/>
          <w:i/>
          <w:color w:val="FF0000"/>
          <w:szCs w:val="21"/>
        </w:rPr>
      </w:pPr>
      <w:r>
        <w:rPr>
          <w:rFonts w:hint="eastAsia" w:ascii="宋体" w:hAnsi="宋体" w:cs="宋体"/>
          <w:i/>
          <w:color w:val="FF0000"/>
          <w:szCs w:val="21"/>
        </w:rPr>
        <w:br w:type="page"/>
      </w:r>
    </w:p>
    <w:p w14:paraId="0D7349BF">
      <w:pPr>
        <w:widowControl/>
        <w:spacing w:line="360" w:lineRule="auto"/>
        <w:jc w:val="center"/>
        <w:rPr>
          <w:rFonts w:ascii="宋体" w:hAnsi="宋体" w:cs="宋体"/>
          <w:i/>
          <w:color w:val="FF0000"/>
          <w:szCs w:val="21"/>
        </w:rPr>
      </w:pPr>
      <w:r>
        <w:rPr>
          <w:rFonts w:hint="eastAsia" w:ascii="宋体" w:hAnsi="宋体" w:cs="宋体"/>
          <w:i/>
          <w:szCs w:val="21"/>
        </w:rPr>
        <w:t>（委托采购合同附中标通知书复印件。自行采购不需要此页）</w:t>
      </w:r>
    </w:p>
    <w:p w14:paraId="079A7B0C">
      <w:pPr>
        <w:spacing w:line="360" w:lineRule="auto"/>
        <w:ind w:firstLine="420"/>
        <w:jc w:val="left"/>
        <w:rPr>
          <w:szCs w:val="21"/>
        </w:rPr>
      </w:pPr>
    </w:p>
    <w:p w14:paraId="2E2A0AC3">
      <w:pPr>
        <w:spacing w:line="360" w:lineRule="auto"/>
        <w:ind w:firstLine="420" w:firstLineChars="200"/>
        <w:jc w:val="left"/>
      </w:pPr>
      <w:r>
        <w:rPr>
          <w:szCs w:val="21"/>
        </w:rPr>
        <w:br w:type="page"/>
      </w:r>
    </w:p>
    <w:p w14:paraId="323967F8">
      <w:pPr>
        <w:pStyle w:val="3"/>
        <w:keepLines/>
        <w:autoSpaceDE/>
        <w:autoSpaceDN/>
        <w:adjustRightInd/>
        <w:jc w:val="center"/>
        <w:rPr>
          <w:rFonts w:ascii="黑体" w:hAnsi="黑体" w:eastAsia="黑体" w:cs="黑体"/>
          <w:color w:val="auto"/>
          <w:kern w:val="44"/>
          <w:sz w:val="32"/>
          <w:szCs w:val="32"/>
        </w:rPr>
      </w:pPr>
      <w:bookmarkStart w:id="423" w:name="_Toc32542"/>
      <w:r>
        <w:rPr>
          <w:rFonts w:hint="eastAsia" w:ascii="黑体" w:hAnsi="黑体" w:eastAsia="黑体" w:cs="黑体"/>
          <w:color w:val="auto"/>
          <w:kern w:val="44"/>
          <w:sz w:val="32"/>
          <w:szCs w:val="32"/>
        </w:rPr>
        <w:t>第四章  响应文件格式</w:t>
      </w:r>
      <w:bookmarkEnd w:id="417"/>
      <w:bookmarkEnd w:id="418"/>
      <w:bookmarkEnd w:id="419"/>
      <w:bookmarkEnd w:id="423"/>
    </w:p>
    <w:p w14:paraId="74415651">
      <w:pPr>
        <w:widowControl/>
        <w:spacing w:line="360" w:lineRule="auto"/>
        <w:ind w:firstLine="420" w:firstLineChars="200"/>
        <w:jc w:val="left"/>
        <w:rPr>
          <w:rFonts w:ascii="宋体" w:hAnsi="宋体" w:cs="宋体"/>
          <w:szCs w:val="21"/>
        </w:rPr>
      </w:pPr>
      <w:r>
        <w:rPr>
          <w:rFonts w:hint="eastAsia" w:ascii="宋体" w:hAnsi="宋体" w:cs="宋体"/>
          <w:szCs w:val="21"/>
        </w:rPr>
        <w:t>1.供应商按照本部分的要求编制响应文件，编制中涉及格式资料的，应按照本部分提供的内容和格式（所有表格的格式可扩展）填写提交。</w:t>
      </w:r>
    </w:p>
    <w:p w14:paraId="13562AF9">
      <w:pPr>
        <w:widowControl/>
        <w:spacing w:line="360" w:lineRule="auto"/>
        <w:ind w:firstLine="422"/>
        <w:jc w:val="left"/>
        <w:rPr>
          <w:rFonts w:ascii="宋体" w:hAnsi="宋体" w:cs="宋体"/>
          <w:szCs w:val="21"/>
        </w:rPr>
      </w:pPr>
      <w:r>
        <w:rPr>
          <w:rFonts w:hint="eastAsia" w:ascii="宋体" w:hAnsi="宋体" w:cs="宋体"/>
          <w:szCs w:val="21"/>
        </w:rPr>
        <w:t>2.格式中标记了★号的为实质性格式文件，供应商不得改变格式中给定的文字所表达的含义，不得删减格式中的实质性内容，不得自行添加与格式中给定的文字内容相矛盾的内容，不得对应当实质性响应的内容不实质性响应，否则响应无效。未标记★号的格式文件和单一来源采购文件未提供格式的内容，可由供应商自行编写。</w:t>
      </w:r>
    </w:p>
    <w:p w14:paraId="0220FFF7">
      <w:pPr>
        <w:widowControl/>
        <w:spacing w:line="360" w:lineRule="auto"/>
        <w:ind w:firstLine="422"/>
        <w:jc w:val="left"/>
        <w:rPr>
          <w:rFonts w:ascii="宋体" w:hAnsi="宋体" w:cs="宋体"/>
          <w:szCs w:val="21"/>
        </w:rPr>
      </w:pPr>
      <w:r>
        <w:rPr>
          <w:rFonts w:hint="eastAsia" w:ascii="宋体" w:hAnsi="宋体" w:cs="宋体"/>
          <w:szCs w:val="21"/>
        </w:rPr>
        <w:t>3.全部声明和问题的回答及所附材料必须是真实的、准确的和完整的。</w:t>
      </w:r>
    </w:p>
    <w:p w14:paraId="6424CFBB">
      <w:pPr>
        <w:spacing w:line="360" w:lineRule="auto"/>
        <w:ind w:firstLine="420" w:firstLineChars="200"/>
        <w:jc w:val="left"/>
        <w:rPr>
          <w:rFonts w:ascii="宋体" w:hAnsi="宋体" w:cs="宋体"/>
          <w:b/>
          <w:bCs/>
          <w:kern w:val="0"/>
          <w:sz w:val="40"/>
          <w:szCs w:val="40"/>
        </w:rPr>
      </w:pPr>
      <w:r>
        <w:rPr>
          <w:rFonts w:hint="eastAsia" w:ascii="宋体" w:hAnsi="宋体" w:cs="宋体"/>
          <w:szCs w:val="21"/>
        </w:rPr>
        <w:t>4.有关文件的提交如未特别注明需提供原件的，可提供扫描件或照片等形式的电子文件。</w:t>
      </w:r>
    </w:p>
    <w:p w14:paraId="372D310B">
      <w:pPr>
        <w:spacing w:line="360" w:lineRule="auto"/>
        <w:jc w:val="left"/>
        <w:rPr>
          <w:sz w:val="24"/>
        </w:rPr>
      </w:pPr>
    </w:p>
    <w:p w14:paraId="3163A5E3">
      <w:pPr>
        <w:spacing w:line="360" w:lineRule="auto"/>
        <w:jc w:val="center"/>
        <w:rPr>
          <w:b/>
          <w:sz w:val="32"/>
          <w:szCs w:val="32"/>
          <w:u w:val="single"/>
        </w:rPr>
      </w:pPr>
      <w:r>
        <w:rPr>
          <w:b/>
          <w:sz w:val="32"/>
          <w:szCs w:val="32"/>
          <w:u w:val="single"/>
        </w:rPr>
        <w:br w:type="page"/>
      </w:r>
    </w:p>
    <w:p w14:paraId="5BBB6ECC">
      <w:pPr>
        <w:pStyle w:val="4"/>
        <w:spacing w:before="0" w:after="0"/>
        <w:rPr>
          <w:rFonts w:ascii="黑体" w:hAnsi="黑体" w:eastAsia="黑体" w:cs="黑体"/>
          <w:bCs w:val="0"/>
          <w:szCs w:val="28"/>
        </w:rPr>
      </w:pPr>
      <w:bookmarkStart w:id="424" w:name="_Toc36116087"/>
      <w:bookmarkStart w:id="425" w:name="_Toc31707"/>
      <w:bookmarkStart w:id="426" w:name="OLE_LINK93"/>
      <w:bookmarkStart w:id="427" w:name="OLE_LINK200"/>
      <w:r>
        <w:rPr>
          <w:rFonts w:hint="eastAsia" w:ascii="黑体" w:hAnsi="黑体" w:eastAsia="黑体" w:cs="黑体"/>
          <w:bCs w:val="0"/>
          <w:szCs w:val="28"/>
        </w:rPr>
        <w:t>一、资</w:t>
      </w:r>
      <w:bookmarkStart w:id="428" w:name="OLE_LINK201"/>
      <w:r>
        <w:rPr>
          <w:rFonts w:hint="eastAsia" w:ascii="黑体" w:hAnsi="黑体" w:eastAsia="黑体" w:cs="黑体"/>
          <w:bCs w:val="0"/>
          <w:szCs w:val="28"/>
        </w:rPr>
        <w:t>格证明文</w:t>
      </w:r>
      <w:bookmarkEnd w:id="428"/>
      <w:r>
        <w:rPr>
          <w:rFonts w:hint="eastAsia" w:ascii="黑体" w:hAnsi="黑体" w:eastAsia="黑体" w:cs="黑体"/>
          <w:bCs w:val="0"/>
          <w:szCs w:val="28"/>
        </w:rPr>
        <w:t>件部分</w:t>
      </w:r>
      <w:bookmarkEnd w:id="424"/>
      <w:bookmarkEnd w:id="425"/>
    </w:p>
    <w:bookmarkEnd w:id="426"/>
    <w:p w14:paraId="158E4FD4">
      <w:pPr>
        <w:pStyle w:val="5"/>
        <w:spacing w:before="0" w:after="0"/>
        <w:ind w:firstLine="0" w:firstLineChars="0"/>
        <w:rPr>
          <w:rFonts w:ascii="Times New Roman" w:eastAsia="黑体"/>
          <w:b w:val="0"/>
          <w:bCs w:val="0"/>
          <w:sz w:val="28"/>
          <w:szCs w:val="28"/>
        </w:rPr>
      </w:pPr>
      <w:bookmarkStart w:id="429" w:name="_Toc19833"/>
      <w:r>
        <w:rPr>
          <w:rFonts w:hint="eastAsia" w:ascii="Times New Roman" w:eastAsia="黑体"/>
          <w:sz w:val="28"/>
          <w:szCs w:val="28"/>
        </w:rPr>
        <w:t>★</w:t>
      </w:r>
      <w:r>
        <w:rPr>
          <w:rFonts w:ascii="Times New Roman" w:eastAsia="黑体"/>
          <w:b w:val="0"/>
          <w:bCs w:val="0"/>
          <w:sz w:val="28"/>
          <w:szCs w:val="28"/>
        </w:rPr>
        <w:t>营业执照等资格证明材料</w:t>
      </w:r>
      <w:bookmarkEnd w:id="429"/>
    </w:p>
    <w:p w14:paraId="41D001D1">
      <w:pPr>
        <w:widowControl/>
        <w:spacing w:line="360" w:lineRule="auto"/>
        <w:ind w:firstLine="420" w:firstLineChars="200"/>
        <w:jc w:val="left"/>
        <w:rPr>
          <w:rFonts w:ascii="宋体" w:hAnsi="宋体" w:cs="宋体"/>
          <w:b/>
          <w:szCs w:val="21"/>
        </w:rPr>
      </w:pPr>
      <w:r>
        <w:rPr>
          <w:rFonts w:hint="eastAsia" w:ascii="宋体" w:hAnsi="宋体" w:cs="宋体"/>
          <w:b/>
          <w:bCs/>
          <w:szCs w:val="21"/>
        </w:rPr>
        <w:t>供应商提供的资格证明</w:t>
      </w:r>
      <w:r>
        <w:rPr>
          <w:rFonts w:hint="eastAsia" w:ascii="宋体" w:hAnsi="宋体" w:cs="宋体"/>
          <w:szCs w:val="21"/>
        </w:rPr>
        <w:t>材料应满足本项目单一来源采购邀请书中对申请人资格要求，提供的材料不能证明其符合申请人资格要求的，</w:t>
      </w:r>
      <w:r>
        <w:rPr>
          <w:rFonts w:hint="eastAsia" w:ascii="宋体" w:hAnsi="宋体" w:cs="宋体"/>
          <w:bCs/>
          <w:szCs w:val="21"/>
        </w:rPr>
        <w:t>其响应文件无效。</w:t>
      </w:r>
    </w:p>
    <w:p w14:paraId="2A1DD508">
      <w:pPr>
        <w:widowControl/>
        <w:ind w:firstLine="420" w:firstLineChars="200"/>
        <w:jc w:val="left"/>
        <w:rPr>
          <w:rFonts w:ascii="宋体" w:hAnsi="宋体" w:cs="宋体"/>
          <w:b/>
          <w:szCs w:val="21"/>
        </w:rPr>
      </w:pPr>
    </w:p>
    <w:p w14:paraId="449C9B00">
      <w:pPr>
        <w:widowControl/>
        <w:spacing w:line="360" w:lineRule="auto"/>
        <w:ind w:firstLine="420" w:firstLineChars="200"/>
        <w:jc w:val="left"/>
        <w:rPr>
          <w:rFonts w:ascii="宋体" w:hAnsi="宋体" w:cs="宋体"/>
          <w:b/>
          <w:szCs w:val="21"/>
        </w:rPr>
      </w:pPr>
      <w:r>
        <w:rPr>
          <w:rFonts w:hint="eastAsia" w:ascii="宋体" w:hAnsi="宋体" w:cs="宋体"/>
          <w:b/>
          <w:szCs w:val="21"/>
        </w:rPr>
        <w:t>具有独立承担民事责任的能力：供应商须具有独立承担民事责任的能力，供应商为法人、其他组织或者自然人，提供有效的营业执照或事业单位法人证书或民办非企业登记证书或执业许可证或社会团体登记证或自然人身份证明；（A.若供应商是企业，提供有效的“营业执照”；B.若供应商是事业单位，提供有效的“事业单位法人证书”；C.若供应商是非企业专业服务机构的，提供有效的法定证明文件；D.若供应商是个体工商户，提供有效的“个体工商户营业执照”；E.若供应商是自然人，提供有效的自然人身份证明）。</w:t>
      </w:r>
    </w:p>
    <w:p w14:paraId="3F7F01A5">
      <w:pPr>
        <w:widowControl/>
        <w:spacing w:line="360" w:lineRule="auto"/>
        <w:ind w:firstLine="420" w:firstLineChars="200"/>
        <w:jc w:val="left"/>
        <w:rPr>
          <w:rFonts w:ascii="宋体" w:hAnsi="宋体" w:cs="宋体"/>
          <w:b/>
          <w:szCs w:val="21"/>
        </w:rPr>
      </w:pPr>
    </w:p>
    <w:p w14:paraId="65A5D6B7">
      <w:pPr>
        <w:widowControl/>
        <w:spacing w:line="360" w:lineRule="auto"/>
        <w:ind w:firstLine="420" w:firstLineChars="200"/>
        <w:jc w:val="left"/>
        <w:rPr>
          <w:rFonts w:ascii="宋体" w:hAnsi="宋体" w:cs="宋体"/>
          <w:b/>
          <w:szCs w:val="21"/>
        </w:rPr>
      </w:pPr>
      <w:r>
        <w:rPr>
          <w:rFonts w:hint="eastAsia" w:ascii="宋体" w:hAnsi="宋体" w:cs="宋体"/>
          <w:b/>
          <w:szCs w:val="21"/>
        </w:rPr>
        <w:t>具有良好的商业信誉和健全的财务会计制度：</w:t>
      </w:r>
    </w:p>
    <w:p w14:paraId="08A598F9">
      <w:pPr>
        <w:widowControl/>
        <w:spacing w:line="360" w:lineRule="auto"/>
        <w:ind w:firstLine="420" w:firstLineChars="200"/>
        <w:jc w:val="left"/>
        <w:rPr>
          <w:rFonts w:ascii="宋体" w:hAnsi="宋体" w:cs="宋体"/>
          <w:b/>
          <w:szCs w:val="21"/>
        </w:rPr>
      </w:pPr>
      <w:r>
        <w:rPr>
          <w:rFonts w:hint="eastAsia" w:ascii="宋体" w:hAnsi="宋体" w:cs="宋体"/>
          <w:b/>
          <w:szCs w:val="21"/>
        </w:rPr>
        <w:t>1.具有良好的商业信誉：供应商在本项目响应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代理机构查询结果为准）；</w:t>
      </w:r>
    </w:p>
    <w:p w14:paraId="5231E47D">
      <w:pPr>
        <w:widowControl/>
        <w:spacing w:line="360" w:lineRule="auto"/>
        <w:ind w:firstLine="420" w:firstLineChars="200"/>
        <w:jc w:val="left"/>
        <w:rPr>
          <w:rFonts w:ascii="宋体" w:hAnsi="宋体" w:cs="宋体"/>
          <w:b/>
          <w:szCs w:val="21"/>
        </w:rPr>
      </w:pPr>
      <w:r>
        <w:rPr>
          <w:rFonts w:hint="eastAsia" w:ascii="宋体" w:hAnsi="宋体" w:cs="宋体"/>
          <w:b/>
          <w:szCs w:val="21"/>
        </w:rPr>
        <w:t>2.具有健全的财务会计制度</w:t>
      </w:r>
    </w:p>
    <w:p w14:paraId="647880D0">
      <w:pPr>
        <w:widowControl/>
        <w:spacing w:line="360" w:lineRule="auto"/>
        <w:ind w:firstLine="420" w:firstLineChars="200"/>
        <w:jc w:val="left"/>
        <w:rPr>
          <w:rFonts w:ascii="宋体" w:hAnsi="宋体" w:cs="宋体"/>
          <w:b/>
          <w:szCs w:val="21"/>
        </w:rPr>
      </w:pPr>
      <w:r>
        <w:rPr>
          <w:rFonts w:hint="eastAsia" w:ascii="宋体" w:hAnsi="宋体" w:cs="宋体"/>
          <w:b/>
          <w:szCs w:val="21"/>
        </w:rPr>
        <w:t>A.供应商须提供2024年度或2025年度经第三方审计的财务报表及审计报告（注：提供的财务报表包括资产负债表、现金流量表、利润表（损益表）、所有者权益变动表及其附注，财务会计报告须附注册会计师行业统一监管平台验证码；事业单位可提供内部财务报表；新成立企业，若成立时间至本项目提交响应文件截止时间不满1年的可提供成立至今的财务报表。</w:t>
      </w:r>
    </w:p>
    <w:p w14:paraId="789FF49B">
      <w:pPr>
        <w:widowControl/>
        <w:spacing w:line="360" w:lineRule="auto"/>
        <w:ind w:firstLine="420" w:firstLineChars="200"/>
        <w:jc w:val="left"/>
        <w:rPr>
          <w:rFonts w:ascii="宋体" w:hAnsi="宋体" w:cs="宋体"/>
          <w:b/>
          <w:szCs w:val="21"/>
        </w:rPr>
      </w:pPr>
      <w:r>
        <w:rPr>
          <w:rFonts w:hint="eastAsia" w:ascii="宋体" w:hAnsi="宋体" w:cs="宋体"/>
          <w:b/>
          <w:szCs w:val="21"/>
        </w:rPr>
        <w:t>B.供应商须提供在提交响应文件截止时间前三个月内银行开具的资信证明；（银行出具的资信证明无需针对本项目或本项目采购人）。</w:t>
      </w:r>
    </w:p>
    <w:p w14:paraId="702C141A">
      <w:pPr>
        <w:widowControl/>
        <w:spacing w:line="360" w:lineRule="auto"/>
        <w:ind w:firstLine="420" w:firstLineChars="200"/>
        <w:jc w:val="left"/>
        <w:rPr>
          <w:rFonts w:ascii="宋体" w:hAnsi="宋体" w:cs="宋体"/>
          <w:b/>
          <w:szCs w:val="21"/>
        </w:rPr>
      </w:pPr>
      <w:r>
        <w:rPr>
          <w:rFonts w:hint="eastAsia" w:ascii="宋体" w:hAnsi="宋体" w:cs="宋体"/>
          <w:b/>
          <w:szCs w:val="21"/>
        </w:rPr>
        <w:t>备注：以上A、B两项证明材料具有同等效力，供应商可根据自身情况提供上述任意一种证明材料。</w:t>
      </w:r>
    </w:p>
    <w:p w14:paraId="15353ED1">
      <w:pPr>
        <w:pStyle w:val="12"/>
        <w:spacing w:before="156" w:line="360" w:lineRule="auto"/>
        <w:rPr>
          <w:rFonts w:hAnsi="宋体" w:cs="宋体"/>
          <w:b/>
          <w:szCs w:val="21"/>
        </w:rPr>
      </w:pPr>
    </w:p>
    <w:p w14:paraId="1A95A304">
      <w:pPr>
        <w:widowControl/>
        <w:spacing w:line="360" w:lineRule="auto"/>
        <w:ind w:firstLine="420" w:firstLineChars="200"/>
        <w:jc w:val="left"/>
        <w:rPr>
          <w:rFonts w:ascii="宋体" w:hAnsi="宋体" w:cs="宋体"/>
          <w:b/>
          <w:szCs w:val="21"/>
        </w:rPr>
      </w:pPr>
      <w:r>
        <w:rPr>
          <w:rFonts w:hint="eastAsia" w:ascii="宋体" w:hAnsi="宋体" w:cs="宋体"/>
          <w:b/>
          <w:szCs w:val="21"/>
        </w:rPr>
        <w:t>供应商须具有履行合同所必需的设备和专业技术能力：供应商须提供具有履行合同所必需的设备和专业技术能力证明材料或书面声明；</w:t>
      </w:r>
    </w:p>
    <w:p w14:paraId="78002FDD">
      <w:pPr>
        <w:widowControl/>
        <w:spacing w:line="360" w:lineRule="auto"/>
        <w:ind w:firstLine="420" w:firstLineChars="200"/>
        <w:jc w:val="left"/>
        <w:rPr>
          <w:rFonts w:ascii="宋体" w:hAnsi="宋体" w:cs="宋体"/>
          <w:b/>
          <w:szCs w:val="21"/>
        </w:rPr>
      </w:pPr>
    </w:p>
    <w:p w14:paraId="12C3C6C6">
      <w:pPr>
        <w:rPr>
          <w:rFonts w:ascii="宋体" w:hAnsi="宋体" w:cs="宋体"/>
          <w:b/>
          <w:szCs w:val="21"/>
        </w:rPr>
      </w:pPr>
      <w:r>
        <w:rPr>
          <w:rFonts w:hint="eastAsia" w:ascii="宋体" w:hAnsi="宋体" w:cs="宋体"/>
          <w:b/>
          <w:szCs w:val="21"/>
        </w:rPr>
        <w:br w:type="page"/>
      </w:r>
    </w:p>
    <w:p w14:paraId="44EFE153">
      <w:pPr>
        <w:widowControl/>
        <w:spacing w:line="360" w:lineRule="auto"/>
        <w:ind w:firstLine="420" w:firstLineChars="200"/>
        <w:jc w:val="left"/>
        <w:rPr>
          <w:rFonts w:ascii="宋体" w:hAnsi="宋体" w:cs="宋体"/>
          <w:b/>
          <w:szCs w:val="21"/>
        </w:rPr>
      </w:pPr>
      <w:r>
        <w:rPr>
          <w:rFonts w:hint="eastAsia" w:ascii="宋体" w:hAnsi="宋体" w:cs="宋体"/>
          <w:b/>
          <w:szCs w:val="21"/>
        </w:rPr>
        <w:t>供应商须具有依法缴纳税收和社会保障资金的良好记录：</w:t>
      </w:r>
    </w:p>
    <w:p w14:paraId="2F36E0CC">
      <w:pPr>
        <w:widowControl/>
        <w:spacing w:line="360" w:lineRule="auto"/>
        <w:ind w:firstLine="420" w:firstLineChars="200"/>
        <w:jc w:val="left"/>
        <w:rPr>
          <w:rFonts w:ascii="宋体" w:hAnsi="宋体" w:cs="宋体"/>
          <w:b/>
          <w:szCs w:val="21"/>
        </w:rPr>
      </w:pPr>
      <w:r>
        <w:rPr>
          <w:rFonts w:hint="eastAsia" w:ascii="宋体" w:hAnsi="宋体" w:cs="宋体"/>
          <w:b/>
          <w:szCs w:val="21"/>
        </w:rPr>
        <w:t>1.供应商须提供缴税所属时间在提交响应文件截止之日前十二个月内任意连续2个月的税务局税收通用缴款书复印件或银行电子缴税（费）凭证复印件或税务局出具纳税情况的相关证明，新成立企业，成立时间不足6个月的提供自成立以来的税务局税收通用缴款书复印件或银行电子缴税（费）凭证复印件或税务局出具纳税情况的相关证明。供应商依法免税的，应提供依法免税的相关证明文件；</w:t>
      </w:r>
    </w:p>
    <w:p w14:paraId="1464CA1B">
      <w:pPr>
        <w:widowControl/>
        <w:spacing w:line="360" w:lineRule="auto"/>
        <w:ind w:firstLine="420" w:firstLineChars="200"/>
        <w:jc w:val="left"/>
        <w:rPr>
          <w:rFonts w:ascii="宋体" w:hAnsi="宋体" w:cs="宋体"/>
          <w:b/>
          <w:szCs w:val="21"/>
        </w:rPr>
      </w:pPr>
      <w:r>
        <w:rPr>
          <w:rFonts w:hint="eastAsia" w:ascii="宋体" w:hAnsi="宋体" w:cs="宋体"/>
          <w:b/>
          <w:szCs w:val="21"/>
        </w:rPr>
        <w:t>2.供应商须提供缴费所属时间在提交响应文件截止之日前十二个月内任意连续2个月的社会保险费缴款书复印件或银行电子缴税（费）凭证复印件或社保管理部门出具的有效的缴款证明，新成立企业，成立时间不足6个月的提供自成立以来的社会保险费缴款书复印件或银行电子缴税（费）凭证复印件或社保管理部门出具的有效的缴款证明。供应商依法免缴的，应提供依法免缴的相关证明文件；</w:t>
      </w:r>
    </w:p>
    <w:p w14:paraId="660C7E66">
      <w:pPr>
        <w:widowControl/>
        <w:spacing w:line="360" w:lineRule="auto"/>
        <w:ind w:firstLine="420" w:firstLineChars="200"/>
        <w:jc w:val="left"/>
        <w:rPr>
          <w:rFonts w:ascii="宋体" w:hAnsi="宋体" w:cs="宋体"/>
          <w:b/>
          <w:szCs w:val="21"/>
        </w:rPr>
      </w:pPr>
    </w:p>
    <w:p w14:paraId="52AFE61F">
      <w:pPr>
        <w:widowControl/>
        <w:spacing w:line="360" w:lineRule="auto"/>
        <w:ind w:firstLine="420" w:firstLineChars="200"/>
        <w:jc w:val="left"/>
        <w:rPr>
          <w:rFonts w:ascii="宋体" w:hAnsi="宋体" w:cs="宋体"/>
          <w:b/>
          <w:szCs w:val="21"/>
        </w:rPr>
      </w:pPr>
      <w:r>
        <w:rPr>
          <w:rFonts w:hint="eastAsia" w:ascii="宋体" w:hAnsi="宋体" w:cs="宋体"/>
          <w:b/>
          <w:szCs w:val="21"/>
        </w:rPr>
        <w:t>供应商参加采购活动前三年内，在经营活动中没有重大违法记录（重大违法记录，是指供应商因违法经营受到刑事处罚或者责令停产停业、吊销许可证或者执照、较大数额罚款等行政处罚）的书面声明。</w:t>
      </w:r>
      <w:bookmarkEnd w:id="427"/>
      <w:bookmarkStart w:id="430" w:name="OLE_LINK375"/>
    </w:p>
    <w:p w14:paraId="75E5331E">
      <w:pPr>
        <w:widowControl/>
        <w:ind w:firstLine="420" w:firstLineChars="200"/>
        <w:jc w:val="left"/>
        <w:rPr>
          <w:rFonts w:ascii="宋体" w:hAnsi="宋体" w:cs="宋体"/>
          <w:b/>
          <w:szCs w:val="21"/>
        </w:rPr>
      </w:pPr>
    </w:p>
    <w:p w14:paraId="33E19584">
      <w:pPr>
        <w:widowControl/>
        <w:spacing w:line="360" w:lineRule="auto"/>
        <w:ind w:firstLine="420" w:firstLineChars="200"/>
        <w:jc w:val="left"/>
        <w:rPr>
          <w:rFonts w:ascii="宋体" w:hAnsi="宋体" w:cs="宋体"/>
          <w:b/>
          <w:szCs w:val="21"/>
        </w:rPr>
      </w:pPr>
      <w:r>
        <w:rPr>
          <w:rFonts w:hint="eastAsia" w:ascii="宋体" w:hAnsi="宋体" w:cs="宋体"/>
          <w:b/>
          <w:szCs w:val="21"/>
        </w:rPr>
        <w:t>法律、行政法规规定的其他条件：</w:t>
      </w:r>
    </w:p>
    <w:p w14:paraId="7D819D6E">
      <w:pPr>
        <w:widowControl/>
        <w:spacing w:line="360" w:lineRule="auto"/>
        <w:ind w:firstLine="420" w:firstLineChars="200"/>
        <w:jc w:val="left"/>
        <w:rPr>
          <w:rFonts w:ascii="宋体" w:hAnsi="宋体" w:cs="宋体"/>
          <w:b/>
          <w:szCs w:val="21"/>
        </w:rPr>
      </w:pPr>
      <w:r>
        <w:rPr>
          <w:rFonts w:hint="eastAsia" w:ascii="宋体" w:hAnsi="宋体" w:cs="宋体"/>
          <w:b/>
          <w:szCs w:val="21"/>
        </w:rPr>
        <w:t>1.单位负责人为同一人或者存在直接控股、管理关系的不同投标人，不得参加同一合同项下的政府采购活动（提供声明书）。</w:t>
      </w:r>
    </w:p>
    <w:p w14:paraId="4D4D7B1F">
      <w:pPr>
        <w:widowControl/>
        <w:spacing w:line="360" w:lineRule="auto"/>
        <w:ind w:firstLine="420" w:firstLineChars="200"/>
        <w:jc w:val="left"/>
        <w:rPr>
          <w:rFonts w:ascii="宋体" w:hAnsi="宋体" w:cs="宋体"/>
          <w:b/>
          <w:szCs w:val="21"/>
        </w:rPr>
      </w:pPr>
      <w:r>
        <w:rPr>
          <w:rFonts w:hint="eastAsia" w:ascii="宋体" w:hAnsi="宋体" w:cs="宋体"/>
          <w:b/>
          <w:szCs w:val="21"/>
        </w:rPr>
        <w:t>2.为本采购项目提供整体设计、规范编制或者项目管理、监理、检测等服务的投标人，不得再参加本采购项目的其他采购活动（提供声明书）。</w:t>
      </w:r>
    </w:p>
    <w:p w14:paraId="32323308">
      <w:pPr>
        <w:widowControl/>
        <w:spacing w:line="360" w:lineRule="auto"/>
        <w:ind w:firstLine="420" w:firstLineChars="200"/>
        <w:jc w:val="left"/>
        <w:rPr>
          <w:rFonts w:ascii="宋体" w:hAnsi="宋体" w:cs="宋体"/>
          <w:b/>
          <w:szCs w:val="21"/>
        </w:rPr>
      </w:pPr>
    </w:p>
    <w:p w14:paraId="158A3E10">
      <w:pPr>
        <w:widowControl/>
        <w:spacing w:line="360" w:lineRule="auto"/>
        <w:ind w:firstLine="420" w:firstLineChars="200"/>
        <w:jc w:val="left"/>
        <w:rPr>
          <w:rFonts w:ascii="宋体" w:hAnsi="宋体" w:cs="宋体"/>
          <w:b/>
          <w:szCs w:val="21"/>
        </w:rPr>
      </w:pPr>
      <w:r>
        <w:rPr>
          <w:rFonts w:hint="eastAsia" w:ascii="宋体" w:hAnsi="宋体" w:cs="宋体"/>
          <w:b/>
          <w:szCs w:val="21"/>
        </w:rPr>
        <w:t>本项目的特定资格要求：无。</w:t>
      </w:r>
    </w:p>
    <w:p w14:paraId="5902D5B9">
      <w:pPr>
        <w:widowControl/>
        <w:spacing w:line="360" w:lineRule="auto"/>
        <w:ind w:firstLine="420" w:firstLineChars="200"/>
        <w:jc w:val="left"/>
        <w:rPr>
          <w:rFonts w:ascii="宋体" w:hAnsi="宋体" w:cs="宋体"/>
          <w:b/>
          <w:szCs w:val="21"/>
        </w:rPr>
      </w:pPr>
    </w:p>
    <w:p w14:paraId="39771F1A">
      <w:pPr>
        <w:widowControl/>
        <w:spacing w:line="360" w:lineRule="auto"/>
        <w:ind w:firstLine="420" w:firstLineChars="200"/>
        <w:jc w:val="left"/>
        <w:rPr>
          <w:rFonts w:eastAsia="黑体"/>
          <w:sz w:val="28"/>
          <w:szCs w:val="28"/>
        </w:rPr>
      </w:pPr>
      <w:r>
        <w:rPr>
          <w:rFonts w:hint="eastAsia" w:ascii="宋体" w:hAnsi="宋体" w:cs="宋体"/>
          <w:b/>
          <w:szCs w:val="21"/>
        </w:rPr>
        <w:t>本次不接受联合体参加。</w:t>
      </w:r>
      <w:r>
        <w:rPr>
          <w:rFonts w:hint="eastAsia" w:eastAsia="黑体"/>
          <w:sz w:val="28"/>
          <w:szCs w:val="28"/>
        </w:rPr>
        <w:br w:type="page"/>
      </w:r>
    </w:p>
    <w:bookmarkEnd w:id="430"/>
    <w:p w14:paraId="47272E3F">
      <w:pPr>
        <w:pStyle w:val="4"/>
        <w:spacing w:before="0" w:after="0"/>
        <w:rPr>
          <w:rFonts w:ascii="Times New Roman" w:hAnsi="Times New Roman" w:eastAsia="黑体"/>
          <w:bCs w:val="0"/>
          <w:szCs w:val="28"/>
        </w:rPr>
      </w:pPr>
      <w:bookmarkStart w:id="431" w:name="OLE_LINK94"/>
      <w:bookmarkStart w:id="432" w:name="OLE_LINK96"/>
      <w:bookmarkStart w:id="433" w:name="OLE_LINK95"/>
      <w:r>
        <w:rPr>
          <w:rFonts w:hint="eastAsia" w:ascii="Times New Roman" w:hAnsi="Times New Roman" w:eastAsia="黑体"/>
          <w:bCs w:val="0"/>
          <w:szCs w:val="28"/>
        </w:rPr>
        <w:t>二、报价文件部分</w:t>
      </w:r>
    </w:p>
    <w:bookmarkEnd w:id="431"/>
    <w:p w14:paraId="3E7BF2E1">
      <w:pPr>
        <w:pStyle w:val="18"/>
        <w:spacing w:line="360" w:lineRule="auto"/>
        <w:jc w:val="center"/>
        <w:outlineLvl w:val="2"/>
        <w:rPr>
          <w:rFonts w:ascii="黑体" w:hAnsi="黑体" w:eastAsia="黑体" w:cs="黑体"/>
          <w:sz w:val="28"/>
          <w:szCs w:val="28"/>
        </w:rPr>
      </w:pPr>
      <w:bookmarkStart w:id="434" w:name="OLE_LINK331"/>
      <w:bookmarkStart w:id="435" w:name="OLE_LINK97"/>
      <w:r>
        <w:rPr>
          <w:rFonts w:hint="eastAsia" w:ascii="黑体" w:hAnsi="黑体" w:eastAsia="黑体" w:cs="黑体"/>
          <w:sz w:val="28"/>
          <w:szCs w:val="28"/>
        </w:rPr>
        <w:t>★采购报价一览表</w:t>
      </w:r>
      <w:bookmarkEnd w:id="434"/>
    </w:p>
    <w:bookmarkEnd w:id="432"/>
    <w:bookmarkEnd w:id="433"/>
    <w:bookmarkEnd w:id="435"/>
    <w:tbl>
      <w:tblPr>
        <w:tblStyle w:val="3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9"/>
        <w:gridCol w:w="6487"/>
      </w:tblGrid>
      <w:tr w14:paraId="74F8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488" w:type="pct"/>
            <w:tcBorders>
              <w:top w:val="single" w:color="auto" w:sz="4" w:space="0"/>
              <w:left w:val="single" w:color="auto" w:sz="4" w:space="0"/>
              <w:bottom w:val="single" w:color="auto" w:sz="4" w:space="0"/>
              <w:right w:val="single" w:color="auto" w:sz="4" w:space="0"/>
            </w:tcBorders>
            <w:vAlign w:val="center"/>
          </w:tcPr>
          <w:p w14:paraId="5686DA14">
            <w:pPr>
              <w:spacing w:line="320" w:lineRule="exact"/>
              <w:jc w:val="center"/>
              <w:rPr>
                <w:rFonts w:hAnsi="宋体" w:cs="宋体"/>
                <w:szCs w:val="21"/>
              </w:rPr>
            </w:pPr>
            <w:r>
              <w:rPr>
                <w:rFonts w:hint="eastAsia" w:hAnsi="宋体" w:cs="宋体"/>
                <w:szCs w:val="21"/>
              </w:rPr>
              <w:t>供应商名称</w:t>
            </w:r>
          </w:p>
        </w:tc>
        <w:tc>
          <w:tcPr>
            <w:tcW w:w="3511" w:type="pct"/>
            <w:tcBorders>
              <w:top w:val="single" w:color="auto" w:sz="4" w:space="0"/>
              <w:left w:val="single" w:color="auto" w:sz="4" w:space="0"/>
              <w:bottom w:val="single" w:color="auto" w:sz="4" w:space="0"/>
              <w:right w:val="single" w:color="auto" w:sz="4" w:space="0"/>
            </w:tcBorders>
            <w:vAlign w:val="center"/>
          </w:tcPr>
          <w:p w14:paraId="3F97788C">
            <w:pPr>
              <w:spacing w:line="360" w:lineRule="auto"/>
              <w:jc w:val="center"/>
              <w:rPr>
                <w:rFonts w:hAnsi="宋体" w:cs="宋体"/>
                <w:szCs w:val="21"/>
              </w:rPr>
            </w:pPr>
          </w:p>
        </w:tc>
      </w:tr>
      <w:tr w14:paraId="5EB5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1488" w:type="pct"/>
            <w:tcBorders>
              <w:top w:val="single" w:color="auto" w:sz="4" w:space="0"/>
              <w:left w:val="single" w:color="auto" w:sz="4" w:space="0"/>
              <w:bottom w:val="single" w:color="auto" w:sz="4" w:space="0"/>
              <w:right w:val="single" w:color="auto" w:sz="4" w:space="0"/>
            </w:tcBorders>
            <w:vAlign w:val="center"/>
          </w:tcPr>
          <w:p w14:paraId="52DD2FFB">
            <w:pPr>
              <w:spacing w:line="320" w:lineRule="exact"/>
              <w:jc w:val="center"/>
              <w:rPr>
                <w:rFonts w:hAnsi="宋体" w:cs="宋体"/>
                <w:szCs w:val="21"/>
              </w:rPr>
            </w:pPr>
            <w:r>
              <w:rPr>
                <w:rFonts w:hint="eastAsia" w:hAnsi="宋体"/>
                <w:szCs w:val="21"/>
              </w:rPr>
              <w:t>采购总</w:t>
            </w:r>
            <w:r>
              <w:rPr>
                <w:rFonts w:hAnsi="宋体"/>
                <w:szCs w:val="21"/>
              </w:rPr>
              <w:t>报价（元）</w:t>
            </w:r>
          </w:p>
        </w:tc>
        <w:tc>
          <w:tcPr>
            <w:tcW w:w="3511" w:type="pct"/>
            <w:tcBorders>
              <w:top w:val="single" w:color="auto" w:sz="4" w:space="0"/>
              <w:left w:val="single" w:color="auto" w:sz="4" w:space="0"/>
              <w:bottom w:val="single" w:color="auto" w:sz="4" w:space="0"/>
              <w:right w:val="single" w:color="auto" w:sz="4" w:space="0"/>
            </w:tcBorders>
            <w:vAlign w:val="center"/>
          </w:tcPr>
          <w:p w14:paraId="4B12BC49">
            <w:pPr>
              <w:spacing w:line="360" w:lineRule="auto"/>
              <w:rPr>
                <w:rFonts w:ascii="宋体" w:hAnsi="宋体" w:cs="宋体"/>
                <w:szCs w:val="21"/>
              </w:rPr>
            </w:pPr>
            <w:r>
              <w:rPr>
                <w:rFonts w:hint="eastAsia" w:ascii="宋体" w:hAnsi="宋体" w:cs="宋体"/>
                <w:szCs w:val="21"/>
              </w:rPr>
              <w:t>小写：¥</w:t>
            </w:r>
          </w:p>
          <w:p w14:paraId="053DB4C4">
            <w:pPr>
              <w:spacing w:line="360" w:lineRule="auto"/>
              <w:rPr>
                <w:rFonts w:hAnsi="宋体" w:cs="宋体"/>
                <w:szCs w:val="21"/>
              </w:rPr>
            </w:pPr>
            <w:r>
              <w:rPr>
                <w:rFonts w:hint="eastAsia" w:ascii="宋体" w:hAnsi="宋体" w:cs="宋体"/>
                <w:szCs w:val="21"/>
              </w:rPr>
              <w:t>大写：人民币</w:t>
            </w:r>
          </w:p>
        </w:tc>
      </w:tr>
      <w:tr w14:paraId="17AA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1488" w:type="pct"/>
            <w:tcBorders>
              <w:top w:val="single" w:color="auto" w:sz="4" w:space="0"/>
              <w:left w:val="single" w:color="auto" w:sz="4" w:space="0"/>
              <w:bottom w:val="single" w:color="auto" w:sz="4" w:space="0"/>
              <w:right w:val="single" w:color="auto" w:sz="4" w:space="0"/>
            </w:tcBorders>
            <w:vAlign w:val="center"/>
          </w:tcPr>
          <w:p w14:paraId="43B8FD15">
            <w:pPr>
              <w:spacing w:line="320" w:lineRule="exact"/>
              <w:jc w:val="center"/>
              <w:rPr>
                <w:rFonts w:hAnsi="宋体"/>
                <w:szCs w:val="21"/>
              </w:rPr>
            </w:pPr>
            <w:bookmarkStart w:id="436" w:name="OLE_LINK208"/>
            <w:bookmarkStart w:id="437" w:name="OLE_LINK239" w:colFirst="0" w:colLast="0"/>
            <w:r>
              <w:rPr>
                <w:rFonts w:hint="eastAsia" w:hAnsi="宋体" w:cs="宋体"/>
                <w:szCs w:val="21"/>
              </w:rPr>
              <w:t>合同履行期限（服务期限）</w:t>
            </w:r>
          </w:p>
        </w:tc>
        <w:tc>
          <w:tcPr>
            <w:tcW w:w="3511" w:type="pct"/>
            <w:tcBorders>
              <w:top w:val="single" w:color="auto" w:sz="4" w:space="0"/>
              <w:left w:val="single" w:color="auto" w:sz="4" w:space="0"/>
              <w:bottom w:val="single" w:color="auto" w:sz="4" w:space="0"/>
              <w:right w:val="single" w:color="auto" w:sz="4" w:space="0"/>
            </w:tcBorders>
            <w:vAlign w:val="center"/>
          </w:tcPr>
          <w:p w14:paraId="6B357228">
            <w:pPr>
              <w:spacing w:line="360" w:lineRule="auto"/>
              <w:rPr>
                <w:rFonts w:ascii="宋体" w:hAnsi="宋体" w:cs="宋体"/>
                <w:szCs w:val="21"/>
              </w:rPr>
            </w:pPr>
          </w:p>
        </w:tc>
      </w:tr>
      <w:bookmarkEnd w:id="436"/>
      <w:tr w14:paraId="3DB0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jc w:val="center"/>
        </w:trPr>
        <w:tc>
          <w:tcPr>
            <w:tcW w:w="1488" w:type="pct"/>
            <w:tcBorders>
              <w:top w:val="single" w:color="auto" w:sz="4" w:space="0"/>
              <w:left w:val="single" w:color="auto" w:sz="4" w:space="0"/>
              <w:bottom w:val="single" w:color="auto" w:sz="4" w:space="0"/>
              <w:right w:val="single" w:color="auto" w:sz="4" w:space="0"/>
            </w:tcBorders>
            <w:vAlign w:val="center"/>
          </w:tcPr>
          <w:p w14:paraId="1A3B7857">
            <w:pPr>
              <w:jc w:val="center"/>
              <w:rPr>
                <w:rFonts w:hAnsi="宋体" w:cs="宋体"/>
                <w:szCs w:val="21"/>
              </w:rPr>
            </w:pPr>
            <w:r>
              <w:rPr>
                <w:rFonts w:hint="eastAsia" w:hAnsi="宋体"/>
                <w:szCs w:val="21"/>
              </w:rPr>
              <w:t>服务地点</w:t>
            </w:r>
          </w:p>
          <w:bookmarkEnd w:id="437"/>
        </w:tc>
        <w:tc>
          <w:tcPr>
            <w:tcW w:w="3511" w:type="pct"/>
            <w:tcBorders>
              <w:top w:val="single" w:color="auto" w:sz="4" w:space="0"/>
              <w:left w:val="single" w:color="auto" w:sz="4" w:space="0"/>
              <w:bottom w:val="single" w:color="auto" w:sz="4" w:space="0"/>
              <w:right w:val="single" w:color="auto" w:sz="4" w:space="0"/>
            </w:tcBorders>
            <w:vAlign w:val="center"/>
          </w:tcPr>
          <w:p w14:paraId="6550ACBC">
            <w:pPr>
              <w:spacing w:line="360" w:lineRule="auto"/>
              <w:rPr>
                <w:rFonts w:hAnsi="宋体" w:cs="宋体"/>
                <w:szCs w:val="21"/>
              </w:rPr>
            </w:pPr>
          </w:p>
        </w:tc>
      </w:tr>
    </w:tbl>
    <w:p w14:paraId="5F2AF9CE">
      <w:pPr>
        <w:pStyle w:val="18"/>
        <w:autoSpaceDE/>
        <w:autoSpaceDN/>
        <w:adjustRightInd/>
        <w:spacing w:line="360" w:lineRule="auto"/>
        <w:rPr>
          <w:rFonts w:hAnsi="宋体"/>
          <w:b/>
          <w:bCs/>
          <w:szCs w:val="21"/>
        </w:rPr>
      </w:pPr>
      <w:r>
        <w:rPr>
          <w:rFonts w:hint="eastAsia" w:hAnsi="宋体"/>
          <w:b/>
          <w:bCs/>
          <w:szCs w:val="21"/>
        </w:rPr>
        <w:t>注：</w:t>
      </w:r>
    </w:p>
    <w:p w14:paraId="2EF83BBB">
      <w:pPr>
        <w:pStyle w:val="18"/>
        <w:autoSpaceDE/>
        <w:autoSpaceDN/>
        <w:adjustRightInd/>
        <w:spacing w:line="360" w:lineRule="auto"/>
        <w:rPr>
          <w:rFonts w:hAnsi="宋体"/>
          <w:szCs w:val="21"/>
        </w:rPr>
      </w:pPr>
      <w:r>
        <w:rPr>
          <w:rFonts w:hint="eastAsia" w:hAnsi="宋体"/>
          <w:b/>
          <w:bCs/>
          <w:szCs w:val="21"/>
        </w:rPr>
        <w:t>1.因本项目为电子采购项目，上述采购报价一览表中供应商填写的内容应与电子交易系统中开标一览表填写内容一致，如出现不一致的情况以电子交易系统中开标一览表填写内容为准</w:t>
      </w:r>
      <w:r>
        <w:rPr>
          <w:rFonts w:hint="eastAsia" w:hAnsi="宋体"/>
          <w:szCs w:val="21"/>
        </w:rPr>
        <w:t>。</w:t>
      </w:r>
    </w:p>
    <w:p w14:paraId="32BE0554">
      <w:pPr>
        <w:tabs>
          <w:tab w:val="left" w:pos="4860"/>
        </w:tabs>
        <w:spacing w:line="480" w:lineRule="auto"/>
        <w:ind w:right="1560"/>
        <w:jc w:val="left"/>
        <w:rPr>
          <w:b/>
          <w:bCs/>
          <w:szCs w:val="21"/>
          <w:u w:val="single"/>
        </w:rPr>
      </w:pPr>
      <w:bookmarkStart w:id="438" w:name="OLE_LINK99"/>
      <w:bookmarkStart w:id="439" w:name="OLE_LINK210"/>
    </w:p>
    <w:bookmarkEnd w:id="438"/>
    <w:bookmarkEnd w:id="439"/>
    <w:p w14:paraId="55EB2174">
      <w:pPr>
        <w:rPr>
          <w:rFonts w:ascii="宋体" w:hAnsi="宋体" w:cs="宋体"/>
          <w:b/>
          <w:bCs/>
          <w:szCs w:val="21"/>
        </w:rPr>
      </w:pPr>
      <w:r>
        <w:rPr>
          <w:rFonts w:ascii="宋体" w:hAnsi="宋体" w:cs="宋体"/>
          <w:b/>
          <w:bCs/>
          <w:szCs w:val="21"/>
        </w:rPr>
        <w:br w:type="page"/>
      </w:r>
    </w:p>
    <w:p w14:paraId="571ABC20">
      <w:pPr>
        <w:pStyle w:val="4"/>
        <w:spacing w:before="0" w:after="0"/>
        <w:rPr>
          <w:rFonts w:ascii="宋体" w:hAnsi="宋体" w:cs="宋体"/>
          <w:bCs w:val="0"/>
        </w:rPr>
      </w:pPr>
      <w:bookmarkStart w:id="440" w:name="_Toc78985509"/>
      <w:bookmarkStart w:id="441" w:name="_Toc6246"/>
      <w:bookmarkStart w:id="442" w:name="_Toc494043354"/>
      <w:bookmarkStart w:id="443" w:name="_Toc491307500"/>
      <w:bookmarkStart w:id="444" w:name="_Toc491307318"/>
      <w:bookmarkStart w:id="445" w:name="_Toc491307380"/>
      <w:bookmarkStart w:id="446" w:name="_Toc385"/>
      <w:bookmarkStart w:id="447" w:name="_Toc488633629"/>
      <w:bookmarkStart w:id="448" w:name="_Toc8518"/>
      <w:bookmarkStart w:id="449" w:name="_Toc481694857"/>
      <w:r>
        <w:rPr>
          <w:rFonts w:ascii="黑体" w:hAnsi="黑体" w:cs="黑体"/>
          <w:snapToGrid w:val="0"/>
          <w:kern w:val="21"/>
          <w:szCs w:val="28"/>
        </w:rPr>
        <w:t>三、</w:t>
      </w:r>
      <w:bookmarkEnd w:id="440"/>
      <w:bookmarkEnd w:id="441"/>
      <w:r>
        <w:rPr>
          <w:rFonts w:hint="eastAsia" w:ascii="Times New Roman" w:hAnsi="Times New Roman"/>
          <w:bCs w:val="0"/>
          <w:szCs w:val="28"/>
        </w:rPr>
        <w:t>技术</w:t>
      </w:r>
      <w:r>
        <w:rPr>
          <w:rFonts w:ascii="Times New Roman" w:hAnsi="Times New Roman"/>
          <w:bCs w:val="0"/>
          <w:szCs w:val="28"/>
        </w:rPr>
        <w:t>商务文件部分</w:t>
      </w:r>
    </w:p>
    <w:p w14:paraId="01BDCF57">
      <w:pPr>
        <w:jc w:val="center"/>
        <w:outlineLvl w:val="2"/>
        <w:rPr>
          <w:rFonts w:ascii="黑体" w:hAnsi="黑体" w:eastAsia="黑体" w:cs="黑体"/>
          <w:sz w:val="28"/>
          <w:szCs w:val="32"/>
        </w:rPr>
      </w:pPr>
      <w:bookmarkStart w:id="450" w:name="_Toc30056"/>
      <w:bookmarkStart w:id="451" w:name="OLE_LINK138"/>
      <w:bookmarkStart w:id="452" w:name="_Toc7678"/>
      <w:r>
        <w:rPr>
          <w:rFonts w:hint="eastAsia" w:ascii="黑体" w:hAnsi="黑体" w:eastAsia="黑体" w:cs="黑体"/>
          <w:sz w:val="28"/>
          <w:szCs w:val="32"/>
        </w:rPr>
        <w:t>★技术规格偏离表</w:t>
      </w:r>
    </w:p>
    <w:p w14:paraId="415AFC0D">
      <w:pPr>
        <w:spacing w:line="360" w:lineRule="auto"/>
        <w:ind w:firstLine="420" w:firstLineChars="200"/>
        <w:rPr>
          <w:rFonts w:ascii="宋体" w:hAnsi="宋体" w:cs="宋体"/>
          <w:szCs w:val="21"/>
        </w:rPr>
      </w:pPr>
      <w:r>
        <w:rPr>
          <w:rFonts w:hint="eastAsia" w:ascii="宋体" w:hAnsi="宋体" w:cs="宋体"/>
          <w:szCs w:val="21"/>
        </w:rPr>
        <w:t>请按响应产品的实际技术参数，逐条对应单一来源采购文件的第五章《采购需求》中一、技术要求中的技术参数、性能指标认真填写该表，该表不能作为响应产品的技术文件。</w:t>
      </w:r>
    </w:p>
    <w:tbl>
      <w:tblPr>
        <w:tblStyle w:val="38"/>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59"/>
        <w:gridCol w:w="1264"/>
        <w:gridCol w:w="2502"/>
        <w:gridCol w:w="2036"/>
        <w:gridCol w:w="1072"/>
        <w:gridCol w:w="1702"/>
      </w:tblGrid>
      <w:tr w14:paraId="01738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3A7FE26A">
            <w:pPr>
              <w:spacing w:line="360" w:lineRule="auto"/>
              <w:jc w:val="center"/>
              <w:rPr>
                <w:rFonts w:ascii="宋体" w:hAnsi="宋体" w:cs="宋体"/>
                <w:b/>
                <w:szCs w:val="21"/>
              </w:rPr>
            </w:pPr>
            <w:r>
              <w:rPr>
                <w:rFonts w:hint="eastAsia" w:ascii="宋体" w:hAnsi="宋体" w:cs="宋体"/>
                <w:b/>
                <w:szCs w:val="21"/>
              </w:rPr>
              <w:t>序号</w:t>
            </w:r>
          </w:p>
        </w:tc>
        <w:tc>
          <w:tcPr>
            <w:tcW w:w="684" w:type="pct"/>
            <w:vAlign w:val="center"/>
          </w:tcPr>
          <w:p w14:paraId="6946DAFB">
            <w:pPr>
              <w:spacing w:line="360" w:lineRule="auto"/>
              <w:jc w:val="center"/>
              <w:rPr>
                <w:rFonts w:ascii="宋体" w:hAnsi="宋体" w:cs="宋体"/>
                <w:b/>
                <w:szCs w:val="21"/>
              </w:rPr>
            </w:pPr>
            <w:r>
              <w:rPr>
                <w:rFonts w:hint="eastAsia" w:ascii="宋体" w:hAnsi="宋体" w:cs="宋体"/>
                <w:b/>
                <w:szCs w:val="21"/>
              </w:rPr>
              <w:t>标的名称</w:t>
            </w:r>
          </w:p>
        </w:tc>
        <w:tc>
          <w:tcPr>
            <w:tcW w:w="1354" w:type="pct"/>
            <w:vAlign w:val="center"/>
          </w:tcPr>
          <w:p w14:paraId="0435543D">
            <w:pPr>
              <w:spacing w:line="360" w:lineRule="auto"/>
              <w:jc w:val="center"/>
              <w:rPr>
                <w:rFonts w:ascii="宋体" w:hAnsi="宋体" w:cs="宋体"/>
                <w:b/>
                <w:szCs w:val="21"/>
              </w:rPr>
            </w:pPr>
            <w:r>
              <w:rPr>
                <w:rFonts w:hint="eastAsia" w:ascii="宋体" w:hAnsi="宋体" w:cs="宋体"/>
                <w:b/>
                <w:szCs w:val="21"/>
              </w:rPr>
              <w:t>单一来源采购文件技术规范、要求</w:t>
            </w:r>
          </w:p>
        </w:tc>
        <w:tc>
          <w:tcPr>
            <w:tcW w:w="1102" w:type="pct"/>
            <w:vAlign w:val="center"/>
          </w:tcPr>
          <w:p w14:paraId="588AA3B4">
            <w:pPr>
              <w:spacing w:line="360" w:lineRule="auto"/>
              <w:jc w:val="center"/>
              <w:rPr>
                <w:rFonts w:ascii="宋体" w:hAnsi="宋体" w:cs="宋体"/>
                <w:b/>
                <w:szCs w:val="21"/>
              </w:rPr>
            </w:pPr>
            <w:r>
              <w:rPr>
                <w:rFonts w:hint="eastAsia" w:ascii="宋体" w:hAnsi="宋体" w:cs="宋体"/>
                <w:b/>
                <w:szCs w:val="21"/>
              </w:rPr>
              <w:t>响应文件应答情况</w:t>
            </w:r>
          </w:p>
        </w:tc>
        <w:tc>
          <w:tcPr>
            <w:tcW w:w="580" w:type="pct"/>
            <w:vAlign w:val="center"/>
          </w:tcPr>
          <w:p w14:paraId="200F41F0">
            <w:pPr>
              <w:spacing w:line="360" w:lineRule="auto"/>
              <w:jc w:val="center"/>
              <w:rPr>
                <w:rFonts w:ascii="宋体" w:hAnsi="宋体" w:cs="宋体"/>
                <w:b/>
                <w:szCs w:val="21"/>
              </w:rPr>
            </w:pPr>
            <w:r>
              <w:rPr>
                <w:rFonts w:hint="eastAsia" w:ascii="宋体" w:hAnsi="宋体" w:cs="宋体"/>
                <w:b/>
                <w:szCs w:val="21"/>
              </w:rPr>
              <w:t>偏离</w:t>
            </w:r>
          </w:p>
        </w:tc>
        <w:tc>
          <w:tcPr>
            <w:tcW w:w="921" w:type="pct"/>
            <w:vAlign w:val="center"/>
          </w:tcPr>
          <w:p w14:paraId="75E5D123">
            <w:pPr>
              <w:spacing w:line="360" w:lineRule="auto"/>
              <w:jc w:val="center"/>
              <w:rPr>
                <w:rFonts w:ascii="宋体" w:hAnsi="宋体" w:cs="宋体"/>
                <w:b/>
                <w:szCs w:val="21"/>
              </w:rPr>
            </w:pPr>
            <w:r>
              <w:rPr>
                <w:rFonts w:hint="eastAsia" w:ascii="宋体" w:hAnsi="宋体" w:cs="宋体"/>
                <w:b/>
                <w:szCs w:val="21"/>
              </w:rPr>
              <w:t>技术支持资料索引（页码及条目号等）</w:t>
            </w:r>
          </w:p>
        </w:tc>
      </w:tr>
      <w:tr w14:paraId="4DEAD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434ADB8A">
            <w:pPr>
              <w:spacing w:line="360" w:lineRule="auto"/>
              <w:jc w:val="center"/>
              <w:rPr>
                <w:rFonts w:ascii="宋体" w:hAnsi="宋体" w:cs="宋体"/>
                <w:szCs w:val="21"/>
              </w:rPr>
            </w:pPr>
          </w:p>
        </w:tc>
        <w:tc>
          <w:tcPr>
            <w:tcW w:w="684" w:type="pct"/>
            <w:vAlign w:val="center"/>
          </w:tcPr>
          <w:p w14:paraId="2607C7CA">
            <w:pPr>
              <w:spacing w:line="360" w:lineRule="auto"/>
              <w:jc w:val="center"/>
              <w:rPr>
                <w:rFonts w:ascii="宋体" w:hAnsi="宋体" w:cs="宋体"/>
                <w:szCs w:val="21"/>
              </w:rPr>
            </w:pPr>
          </w:p>
        </w:tc>
        <w:tc>
          <w:tcPr>
            <w:tcW w:w="1354" w:type="pct"/>
            <w:vAlign w:val="center"/>
          </w:tcPr>
          <w:p w14:paraId="1C4EC155">
            <w:pPr>
              <w:spacing w:line="360" w:lineRule="auto"/>
              <w:jc w:val="center"/>
              <w:rPr>
                <w:rFonts w:ascii="宋体" w:hAnsi="宋体" w:cs="宋体"/>
                <w:szCs w:val="21"/>
              </w:rPr>
            </w:pPr>
          </w:p>
        </w:tc>
        <w:tc>
          <w:tcPr>
            <w:tcW w:w="1102" w:type="pct"/>
            <w:vAlign w:val="center"/>
          </w:tcPr>
          <w:p w14:paraId="671A9A71">
            <w:pPr>
              <w:spacing w:line="360" w:lineRule="auto"/>
              <w:jc w:val="center"/>
              <w:rPr>
                <w:rFonts w:ascii="宋体" w:hAnsi="宋体" w:cs="宋体"/>
                <w:szCs w:val="21"/>
              </w:rPr>
            </w:pPr>
          </w:p>
        </w:tc>
        <w:tc>
          <w:tcPr>
            <w:tcW w:w="580" w:type="pct"/>
          </w:tcPr>
          <w:p w14:paraId="51F09DED">
            <w:pPr>
              <w:spacing w:line="360" w:lineRule="auto"/>
              <w:jc w:val="center"/>
              <w:rPr>
                <w:rFonts w:ascii="宋体" w:hAnsi="宋体" w:cs="宋体"/>
                <w:szCs w:val="21"/>
              </w:rPr>
            </w:pPr>
          </w:p>
        </w:tc>
        <w:tc>
          <w:tcPr>
            <w:tcW w:w="921" w:type="pct"/>
            <w:vAlign w:val="center"/>
          </w:tcPr>
          <w:p w14:paraId="1B040D76">
            <w:pPr>
              <w:spacing w:line="360" w:lineRule="auto"/>
              <w:jc w:val="center"/>
              <w:rPr>
                <w:rFonts w:ascii="宋体" w:hAnsi="宋体" w:cs="宋体"/>
                <w:szCs w:val="21"/>
              </w:rPr>
            </w:pPr>
          </w:p>
        </w:tc>
      </w:tr>
      <w:tr w14:paraId="3A5A0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3CF125B">
            <w:pPr>
              <w:spacing w:line="360" w:lineRule="auto"/>
              <w:jc w:val="center"/>
              <w:rPr>
                <w:rFonts w:ascii="宋体" w:hAnsi="宋体" w:cs="宋体"/>
                <w:szCs w:val="21"/>
              </w:rPr>
            </w:pPr>
          </w:p>
        </w:tc>
        <w:tc>
          <w:tcPr>
            <w:tcW w:w="684" w:type="pct"/>
            <w:vAlign w:val="center"/>
          </w:tcPr>
          <w:p w14:paraId="61D3DCAB">
            <w:pPr>
              <w:spacing w:line="360" w:lineRule="auto"/>
              <w:jc w:val="center"/>
              <w:rPr>
                <w:rFonts w:ascii="宋体" w:hAnsi="宋体" w:cs="宋体"/>
                <w:szCs w:val="21"/>
              </w:rPr>
            </w:pPr>
          </w:p>
        </w:tc>
        <w:tc>
          <w:tcPr>
            <w:tcW w:w="1354" w:type="pct"/>
            <w:vAlign w:val="center"/>
          </w:tcPr>
          <w:p w14:paraId="3CD5DD66">
            <w:pPr>
              <w:spacing w:line="360" w:lineRule="auto"/>
              <w:jc w:val="center"/>
              <w:rPr>
                <w:rFonts w:ascii="宋体" w:hAnsi="宋体" w:cs="宋体"/>
                <w:szCs w:val="21"/>
              </w:rPr>
            </w:pPr>
          </w:p>
        </w:tc>
        <w:tc>
          <w:tcPr>
            <w:tcW w:w="1102" w:type="pct"/>
            <w:vAlign w:val="center"/>
          </w:tcPr>
          <w:p w14:paraId="0FFB5EE1">
            <w:pPr>
              <w:spacing w:line="360" w:lineRule="auto"/>
              <w:jc w:val="center"/>
              <w:rPr>
                <w:rFonts w:ascii="宋体" w:hAnsi="宋体" w:cs="宋体"/>
                <w:szCs w:val="21"/>
              </w:rPr>
            </w:pPr>
          </w:p>
        </w:tc>
        <w:tc>
          <w:tcPr>
            <w:tcW w:w="580" w:type="pct"/>
          </w:tcPr>
          <w:p w14:paraId="5D54B119">
            <w:pPr>
              <w:spacing w:line="360" w:lineRule="auto"/>
              <w:jc w:val="center"/>
              <w:rPr>
                <w:rFonts w:ascii="宋体" w:hAnsi="宋体" w:cs="宋体"/>
                <w:szCs w:val="21"/>
              </w:rPr>
            </w:pPr>
          </w:p>
        </w:tc>
        <w:tc>
          <w:tcPr>
            <w:tcW w:w="921" w:type="pct"/>
            <w:vAlign w:val="center"/>
          </w:tcPr>
          <w:p w14:paraId="730C0548">
            <w:pPr>
              <w:spacing w:line="360" w:lineRule="auto"/>
              <w:jc w:val="center"/>
              <w:rPr>
                <w:rFonts w:ascii="宋体" w:hAnsi="宋体" w:cs="宋体"/>
                <w:szCs w:val="21"/>
              </w:rPr>
            </w:pPr>
          </w:p>
        </w:tc>
      </w:tr>
      <w:tr w14:paraId="45EF3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DEB36B1">
            <w:pPr>
              <w:spacing w:line="360" w:lineRule="auto"/>
              <w:jc w:val="center"/>
              <w:rPr>
                <w:rFonts w:ascii="宋体" w:hAnsi="宋体" w:cs="宋体"/>
                <w:szCs w:val="21"/>
              </w:rPr>
            </w:pPr>
          </w:p>
        </w:tc>
        <w:tc>
          <w:tcPr>
            <w:tcW w:w="684" w:type="pct"/>
            <w:vAlign w:val="center"/>
          </w:tcPr>
          <w:p w14:paraId="0F29DB47">
            <w:pPr>
              <w:spacing w:line="360" w:lineRule="auto"/>
              <w:jc w:val="center"/>
              <w:rPr>
                <w:rFonts w:ascii="宋体" w:hAnsi="宋体" w:cs="宋体"/>
                <w:szCs w:val="21"/>
              </w:rPr>
            </w:pPr>
          </w:p>
        </w:tc>
        <w:tc>
          <w:tcPr>
            <w:tcW w:w="1354" w:type="pct"/>
            <w:vAlign w:val="center"/>
          </w:tcPr>
          <w:p w14:paraId="6504ACEE">
            <w:pPr>
              <w:spacing w:line="360" w:lineRule="auto"/>
              <w:jc w:val="center"/>
              <w:rPr>
                <w:rFonts w:ascii="宋体" w:hAnsi="宋体" w:cs="宋体"/>
                <w:szCs w:val="21"/>
              </w:rPr>
            </w:pPr>
          </w:p>
        </w:tc>
        <w:tc>
          <w:tcPr>
            <w:tcW w:w="1102" w:type="pct"/>
            <w:vAlign w:val="center"/>
          </w:tcPr>
          <w:p w14:paraId="27AFFA7D">
            <w:pPr>
              <w:spacing w:line="360" w:lineRule="auto"/>
              <w:jc w:val="center"/>
              <w:rPr>
                <w:rFonts w:ascii="宋体" w:hAnsi="宋体" w:cs="宋体"/>
                <w:szCs w:val="21"/>
              </w:rPr>
            </w:pPr>
          </w:p>
        </w:tc>
        <w:tc>
          <w:tcPr>
            <w:tcW w:w="580" w:type="pct"/>
          </w:tcPr>
          <w:p w14:paraId="325F383C">
            <w:pPr>
              <w:spacing w:line="360" w:lineRule="auto"/>
              <w:jc w:val="center"/>
              <w:rPr>
                <w:rFonts w:ascii="宋体" w:hAnsi="宋体" w:cs="宋体"/>
                <w:szCs w:val="21"/>
              </w:rPr>
            </w:pPr>
          </w:p>
        </w:tc>
        <w:tc>
          <w:tcPr>
            <w:tcW w:w="921" w:type="pct"/>
            <w:vAlign w:val="center"/>
          </w:tcPr>
          <w:p w14:paraId="00A617E7">
            <w:pPr>
              <w:spacing w:line="360" w:lineRule="auto"/>
              <w:jc w:val="center"/>
              <w:rPr>
                <w:rFonts w:ascii="宋体" w:hAnsi="宋体" w:cs="宋体"/>
                <w:szCs w:val="21"/>
              </w:rPr>
            </w:pPr>
          </w:p>
        </w:tc>
      </w:tr>
      <w:tr w14:paraId="0DDC0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7482FCA">
            <w:pPr>
              <w:spacing w:line="360" w:lineRule="auto"/>
              <w:jc w:val="center"/>
              <w:rPr>
                <w:rFonts w:ascii="宋体" w:hAnsi="宋体" w:cs="宋体"/>
                <w:szCs w:val="21"/>
              </w:rPr>
            </w:pPr>
          </w:p>
        </w:tc>
        <w:tc>
          <w:tcPr>
            <w:tcW w:w="684" w:type="pct"/>
            <w:vAlign w:val="center"/>
          </w:tcPr>
          <w:p w14:paraId="62C07F38">
            <w:pPr>
              <w:spacing w:line="360" w:lineRule="auto"/>
              <w:jc w:val="center"/>
              <w:rPr>
                <w:rFonts w:ascii="宋体" w:hAnsi="宋体" w:cs="宋体"/>
                <w:szCs w:val="21"/>
              </w:rPr>
            </w:pPr>
          </w:p>
        </w:tc>
        <w:tc>
          <w:tcPr>
            <w:tcW w:w="1354" w:type="pct"/>
            <w:vAlign w:val="center"/>
          </w:tcPr>
          <w:p w14:paraId="326AF4C9">
            <w:pPr>
              <w:spacing w:line="360" w:lineRule="auto"/>
              <w:jc w:val="center"/>
              <w:rPr>
                <w:rFonts w:ascii="宋体" w:hAnsi="宋体" w:cs="宋体"/>
                <w:szCs w:val="21"/>
              </w:rPr>
            </w:pPr>
          </w:p>
        </w:tc>
        <w:tc>
          <w:tcPr>
            <w:tcW w:w="1102" w:type="pct"/>
            <w:vAlign w:val="center"/>
          </w:tcPr>
          <w:p w14:paraId="35E051C2">
            <w:pPr>
              <w:spacing w:line="360" w:lineRule="auto"/>
              <w:jc w:val="center"/>
              <w:rPr>
                <w:rFonts w:ascii="宋体" w:hAnsi="宋体" w:cs="宋体"/>
                <w:szCs w:val="21"/>
              </w:rPr>
            </w:pPr>
          </w:p>
        </w:tc>
        <w:tc>
          <w:tcPr>
            <w:tcW w:w="580" w:type="pct"/>
          </w:tcPr>
          <w:p w14:paraId="5411424E">
            <w:pPr>
              <w:spacing w:line="360" w:lineRule="auto"/>
              <w:jc w:val="center"/>
              <w:rPr>
                <w:rFonts w:ascii="宋体" w:hAnsi="宋体" w:cs="宋体"/>
                <w:szCs w:val="21"/>
              </w:rPr>
            </w:pPr>
          </w:p>
        </w:tc>
        <w:tc>
          <w:tcPr>
            <w:tcW w:w="921" w:type="pct"/>
            <w:vAlign w:val="center"/>
          </w:tcPr>
          <w:p w14:paraId="49647CA6">
            <w:pPr>
              <w:spacing w:line="360" w:lineRule="auto"/>
              <w:jc w:val="center"/>
              <w:rPr>
                <w:rFonts w:ascii="宋体" w:hAnsi="宋体" w:cs="宋体"/>
                <w:szCs w:val="21"/>
              </w:rPr>
            </w:pPr>
          </w:p>
        </w:tc>
      </w:tr>
      <w:tr w14:paraId="324471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206EFD2">
            <w:pPr>
              <w:spacing w:line="360" w:lineRule="auto"/>
              <w:jc w:val="center"/>
              <w:rPr>
                <w:rFonts w:ascii="宋体" w:hAnsi="宋体" w:cs="宋体"/>
                <w:szCs w:val="21"/>
              </w:rPr>
            </w:pPr>
          </w:p>
        </w:tc>
        <w:tc>
          <w:tcPr>
            <w:tcW w:w="684" w:type="pct"/>
            <w:vAlign w:val="center"/>
          </w:tcPr>
          <w:p w14:paraId="3D32EAAA">
            <w:pPr>
              <w:spacing w:line="360" w:lineRule="auto"/>
              <w:jc w:val="center"/>
              <w:rPr>
                <w:rFonts w:ascii="宋体" w:hAnsi="宋体" w:cs="宋体"/>
                <w:szCs w:val="21"/>
              </w:rPr>
            </w:pPr>
          </w:p>
        </w:tc>
        <w:tc>
          <w:tcPr>
            <w:tcW w:w="1354" w:type="pct"/>
            <w:vAlign w:val="center"/>
          </w:tcPr>
          <w:p w14:paraId="46269534">
            <w:pPr>
              <w:spacing w:line="360" w:lineRule="auto"/>
              <w:jc w:val="center"/>
              <w:rPr>
                <w:rFonts w:ascii="宋体" w:hAnsi="宋体" w:cs="宋体"/>
                <w:szCs w:val="21"/>
              </w:rPr>
            </w:pPr>
          </w:p>
        </w:tc>
        <w:tc>
          <w:tcPr>
            <w:tcW w:w="1102" w:type="pct"/>
            <w:vAlign w:val="center"/>
          </w:tcPr>
          <w:p w14:paraId="181187A2">
            <w:pPr>
              <w:spacing w:line="360" w:lineRule="auto"/>
              <w:jc w:val="center"/>
              <w:rPr>
                <w:rFonts w:ascii="宋体" w:hAnsi="宋体" w:cs="宋体"/>
                <w:szCs w:val="21"/>
              </w:rPr>
            </w:pPr>
          </w:p>
        </w:tc>
        <w:tc>
          <w:tcPr>
            <w:tcW w:w="580" w:type="pct"/>
          </w:tcPr>
          <w:p w14:paraId="018EB856">
            <w:pPr>
              <w:spacing w:line="360" w:lineRule="auto"/>
              <w:jc w:val="center"/>
              <w:rPr>
                <w:rFonts w:ascii="宋体" w:hAnsi="宋体" w:cs="宋体"/>
                <w:szCs w:val="21"/>
              </w:rPr>
            </w:pPr>
          </w:p>
        </w:tc>
        <w:tc>
          <w:tcPr>
            <w:tcW w:w="921" w:type="pct"/>
            <w:vAlign w:val="center"/>
          </w:tcPr>
          <w:p w14:paraId="18FDF0EC">
            <w:pPr>
              <w:spacing w:line="360" w:lineRule="auto"/>
              <w:jc w:val="center"/>
              <w:rPr>
                <w:rFonts w:ascii="宋体" w:hAnsi="宋体" w:cs="宋体"/>
                <w:szCs w:val="21"/>
              </w:rPr>
            </w:pPr>
          </w:p>
        </w:tc>
      </w:tr>
      <w:tr w14:paraId="6FA6A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B3D438D">
            <w:pPr>
              <w:spacing w:line="360" w:lineRule="auto"/>
              <w:jc w:val="center"/>
              <w:rPr>
                <w:rFonts w:ascii="宋体" w:hAnsi="宋体" w:cs="宋体"/>
                <w:szCs w:val="21"/>
              </w:rPr>
            </w:pPr>
          </w:p>
        </w:tc>
        <w:tc>
          <w:tcPr>
            <w:tcW w:w="684" w:type="pct"/>
            <w:vAlign w:val="center"/>
          </w:tcPr>
          <w:p w14:paraId="11B27E89">
            <w:pPr>
              <w:spacing w:line="360" w:lineRule="auto"/>
              <w:jc w:val="center"/>
              <w:rPr>
                <w:rFonts w:ascii="宋体" w:hAnsi="宋体" w:cs="宋体"/>
                <w:szCs w:val="21"/>
              </w:rPr>
            </w:pPr>
          </w:p>
        </w:tc>
        <w:tc>
          <w:tcPr>
            <w:tcW w:w="1354" w:type="pct"/>
            <w:vAlign w:val="center"/>
          </w:tcPr>
          <w:p w14:paraId="49F1F72B">
            <w:pPr>
              <w:spacing w:line="360" w:lineRule="auto"/>
              <w:jc w:val="center"/>
              <w:rPr>
                <w:rFonts w:ascii="宋体" w:hAnsi="宋体" w:cs="宋体"/>
                <w:szCs w:val="21"/>
              </w:rPr>
            </w:pPr>
          </w:p>
        </w:tc>
        <w:tc>
          <w:tcPr>
            <w:tcW w:w="1102" w:type="pct"/>
            <w:vAlign w:val="center"/>
          </w:tcPr>
          <w:p w14:paraId="6ECD975C">
            <w:pPr>
              <w:spacing w:line="360" w:lineRule="auto"/>
              <w:jc w:val="center"/>
              <w:rPr>
                <w:rFonts w:ascii="宋体" w:hAnsi="宋体" w:cs="宋体"/>
                <w:szCs w:val="21"/>
              </w:rPr>
            </w:pPr>
          </w:p>
        </w:tc>
        <w:tc>
          <w:tcPr>
            <w:tcW w:w="580" w:type="pct"/>
          </w:tcPr>
          <w:p w14:paraId="4B9CA515">
            <w:pPr>
              <w:spacing w:line="360" w:lineRule="auto"/>
              <w:jc w:val="center"/>
              <w:rPr>
                <w:rFonts w:ascii="宋体" w:hAnsi="宋体" w:cs="宋体"/>
                <w:szCs w:val="21"/>
              </w:rPr>
            </w:pPr>
          </w:p>
        </w:tc>
        <w:tc>
          <w:tcPr>
            <w:tcW w:w="921" w:type="pct"/>
            <w:vAlign w:val="center"/>
          </w:tcPr>
          <w:p w14:paraId="51984DD2">
            <w:pPr>
              <w:spacing w:line="360" w:lineRule="auto"/>
              <w:jc w:val="center"/>
              <w:rPr>
                <w:rFonts w:ascii="宋体" w:hAnsi="宋体" w:cs="宋体"/>
                <w:szCs w:val="21"/>
              </w:rPr>
            </w:pPr>
          </w:p>
        </w:tc>
      </w:tr>
      <w:tr w14:paraId="120E7A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D9A2769">
            <w:pPr>
              <w:spacing w:line="360" w:lineRule="auto"/>
              <w:rPr>
                <w:rFonts w:ascii="宋体" w:hAnsi="宋体" w:cs="宋体"/>
                <w:szCs w:val="21"/>
              </w:rPr>
            </w:pPr>
          </w:p>
        </w:tc>
        <w:tc>
          <w:tcPr>
            <w:tcW w:w="684" w:type="pct"/>
            <w:vAlign w:val="center"/>
          </w:tcPr>
          <w:p w14:paraId="08FB2A24">
            <w:pPr>
              <w:spacing w:line="360" w:lineRule="auto"/>
              <w:jc w:val="center"/>
              <w:rPr>
                <w:rFonts w:ascii="宋体" w:hAnsi="宋体" w:cs="宋体"/>
                <w:szCs w:val="21"/>
              </w:rPr>
            </w:pPr>
          </w:p>
        </w:tc>
        <w:tc>
          <w:tcPr>
            <w:tcW w:w="1354" w:type="pct"/>
            <w:vAlign w:val="center"/>
          </w:tcPr>
          <w:p w14:paraId="5B588C64">
            <w:pPr>
              <w:spacing w:line="360" w:lineRule="auto"/>
              <w:jc w:val="center"/>
              <w:rPr>
                <w:rFonts w:ascii="宋体" w:hAnsi="宋体" w:cs="宋体"/>
                <w:szCs w:val="21"/>
              </w:rPr>
            </w:pPr>
          </w:p>
        </w:tc>
        <w:tc>
          <w:tcPr>
            <w:tcW w:w="1102" w:type="pct"/>
            <w:vAlign w:val="center"/>
          </w:tcPr>
          <w:p w14:paraId="3B96C33D">
            <w:pPr>
              <w:spacing w:line="360" w:lineRule="auto"/>
              <w:jc w:val="center"/>
              <w:rPr>
                <w:rFonts w:ascii="宋体" w:hAnsi="宋体" w:cs="宋体"/>
                <w:szCs w:val="21"/>
              </w:rPr>
            </w:pPr>
          </w:p>
        </w:tc>
        <w:tc>
          <w:tcPr>
            <w:tcW w:w="580" w:type="pct"/>
          </w:tcPr>
          <w:p w14:paraId="5FBE9959">
            <w:pPr>
              <w:spacing w:line="360" w:lineRule="auto"/>
              <w:jc w:val="center"/>
              <w:rPr>
                <w:rFonts w:ascii="宋体" w:hAnsi="宋体" w:cs="宋体"/>
                <w:szCs w:val="21"/>
              </w:rPr>
            </w:pPr>
          </w:p>
        </w:tc>
        <w:tc>
          <w:tcPr>
            <w:tcW w:w="921" w:type="pct"/>
            <w:vAlign w:val="center"/>
          </w:tcPr>
          <w:p w14:paraId="5553C4E1">
            <w:pPr>
              <w:spacing w:line="360" w:lineRule="auto"/>
              <w:jc w:val="center"/>
              <w:rPr>
                <w:rFonts w:ascii="宋体" w:hAnsi="宋体" w:cs="宋体"/>
                <w:szCs w:val="21"/>
              </w:rPr>
            </w:pPr>
          </w:p>
        </w:tc>
      </w:tr>
      <w:tr w14:paraId="2C5E7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29F2365">
            <w:pPr>
              <w:spacing w:line="360" w:lineRule="auto"/>
              <w:jc w:val="center"/>
              <w:rPr>
                <w:rFonts w:ascii="宋体" w:hAnsi="宋体" w:cs="宋体"/>
                <w:szCs w:val="21"/>
              </w:rPr>
            </w:pPr>
          </w:p>
        </w:tc>
        <w:tc>
          <w:tcPr>
            <w:tcW w:w="684" w:type="pct"/>
            <w:vAlign w:val="center"/>
          </w:tcPr>
          <w:p w14:paraId="67A21C7E">
            <w:pPr>
              <w:spacing w:line="360" w:lineRule="auto"/>
              <w:jc w:val="center"/>
              <w:rPr>
                <w:rFonts w:ascii="宋体" w:hAnsi="宋体" w:cs="宋体"/>
                <w:szCs w:val="21"/>
              </w:rPr>
            </w:pPr>
          </w:p>
        </w:tc>
        <w:tc>
          <w:tcPr>
            <w:tcW w:w="1354" w:type="pct"/>
            <w:vAlign w:val="center"/>
          </w:tcPr>
          <w:p w14:paraId="0C63E62A">
            <w:pPr>
              <w:spacing w:line="360" w:lineRule="auto"/>
              <w:jc w:val="center"/>
              <w:rPr>
                <w:rFonts w:ascii="宋体" w:hAnsi="宋体" w:cs="宋体"/>
                <w:szCs w:val="21"/>
              </w:rPr>
            </w:pPr>
          </w:p>
        </w:tc>
        <w:tc>
          <w:tcPr>
            <w:tcW w:w="1102" w:type="pct"/>
            <w:vAlign w:val="center"/>
          </w:tcPr>
          <w:p w14:paraId="52AEA697">
            <w:pPr>
              <w:spacing w:line="360" w:lineRule="auto"/>
              <w:jc w:val="center"/>
              <w:rPr>
                <w:rFonts w:ascii="宋体" w:hAnsi="宋体" w:cs="宋体"/>
                <w:szCs w:val="21"/>
              </w:rPr>
            </w:pPr>
          </w:p>
        </w:tc>
        <w:tc>
          <w:tcPr>
            <w:tcW w:w="580" w:type="pct"/>
          </w:tcPr>
          <w:p w14:paraId="58E4D5F3">
            <w:pPr>
              <w:spacing w:line="360" w:lineRule="auto"/>
              <w:jc w:val="center"/>
              <w:rPr>
                <w:rFonts w:ascii="宋体" w:hAnsi="宋体" w:cs="宋体"/>
                <w:szCs w:val="21"/>
              </w:rPr>
            </w:pPr>
          </w:p>
        </w:tc>
        <w:tc>
          <w:tcPr>
            <w:tcW w:w="921" w:type="pct"/>
            <w:vAlign w:val="center"/>
          </w:tcPr>
          <w:p w14:paraId="71DF60CB">
            <w:pPr>
              <w:spacing w:line="360" w:lineRule="auto"/>
              <w:jc w:val="center"/>
              <w:rPr>
                <w:rFonts w:ascii="宋体" w:hAnsi="宋体" w:cs="宋体"/>
                <w:szCs w:val="21"/>
              </w:rPr>
            </w:pPr>
          </w:p>
        </w:tc>
      </w:tr>
      <w:tr w14:paraId="3830C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4635FA0">
            <w:pPr>
              <w:spacing w:line="360" w:lineRule="auto"/>
              <w:jc w:val="center"/>
              <w:rPr>
                <w:rFonts w:ascii="宋体" w:hAnsi="宋体" w:cs="宋体"/>
                <w:szCs w:val="21"/>
              </w:rPr>
            </w:pPr>
          </w:p>
        </w:tc>
        <w:tc>
          <w:tcPr>
            <w:tcW w:w="684" w:type="pct"/>
            <w:vAlign w:val="center"/>
          </w:tcPr>
          <w:p w14:paraId="177647DB">
            <w:pPr>
              <w:spacing w:line="360" w:lineRule="auto"/>
              <w:jc w:val="center"/>
              <w:rPr>
                <w:rFonts w:ascii="宋体" w:hAnsi="宋体" w:cs="宋体"/>
                <w:szCs w:val="21"/>
              </w:rPr>
            </w:pPr>
          </w:p>
        </w:tc>
        <w:tc>
          <w:tcPr>
            <w:tcW w:w="1354" w:type="pct"/>
            <w:vAlign w:val="center"/>
          </w:tcPr>
          <w:p w14:paraId="52CC0CCB">
            <w:pPr>
              <w:spacing w:line="360" w:lineRule="auto"/>
              <w:jc w:val="center"/>
              <w:rPr>
                <w:rFonts w:ascii="宋体" w:hAnsi="宋体" w:cs="宋体"/>
                <w:szCs w:val="21"/>
              </w:rPr>
            </w:pPr>
          </w:p>
        </w:tc>
        <w:tc>
          <w:tcPr>
            <w:tcW w:w="1102" w:type="pct"/>
            <w:vAlign w:val="center"/>
          </w:tcPr>
          <w:p w14:paraId="7898D4BC">
            <w:pPr>
              <w:spacing w:line="360" w:lineRule="auto"/>
              <w:jc w:val="center"/>
              <w:rPr>
                <w:rFonts w:ascii="宋体" w:hAnsi="宋体" w:cs="宋体"/>
                <w:szCs w:val="21"/>
              </w:rPr>
            </w:pPr>
          </w:p>
        </w:tc>
        <w:tc>
          <w:tcPr>
            <w:tcW w:w="580" w:type="pct"/>
          </w:tcPr>
          <w:p w14:paraId="3FE94D4B">
            <w:pPr>
              <w:spacing w:line="360" w:lineRule="auto"/>
              <w:jc w:val="center"/>
              <w:rPr>
                <w:rFonts w:ascii="宋体" w:hAnsi="宋体" w:cs="宋体"/>
                <w:szCs w:val="21"/>
              </w:rPr>
            </w:pPr>
          </w:p>
        </w:tc>
        <w:tc>
          <w:tcPr>
            <w:tcW w:w="921" w:type="pct"/>
            <w:vAlign w:val="center"/>
          </w:tcPr>
          <w:p w14:paraId="4BCFED75">
            <w:pPr>
              <w:spacing w:line="360" w:lineRule="auto"/>
              <w:jc w:val="center"/>
              <w:rPr>
                <w:rFonts w:ascii="宋体" w:hAnsi="宋体" w:cs="宋体"/>
                <w:szCs w:val="21"/>
              </w:rPr>
            </w:pPr>
          </w:p>
        </w:tc>
      </w:tr>
      <w:tr w14:paraId="0EE625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357C95B">
            <w:pPr>
              <w:spacing w:line="360" w:lineRule="auto"/>
              <w:jc w:val="center"/>
              <w:rPr>
                <w:rFonts w:ascii="宋体" w:hAnsi="宋体" w:cs="宋体"/>
                <w:szCs w:val="21"/>
              </w:rPr>
            </w:pPr>
          </w:p>
        </w:tc>
        <w:tc>
          <w:tcPr>
            <w:tcW w:w="684" w:type="pct"/>
            <w:vAlign w:val="center"/>
          </w:tcPr>
          <w:p w14:paraId="5DC8605C">
            <w:pPr>
              <w:spacing w:line="360" w:lineRule="auto"/>
              <w:jc w:val="center"/>
              <w:rPr>
                <w:rFonts w:ascii="宋体" w:hAnsi="宋体" w:cs="宋体"/>
                <w:szCs w:val="21"/>
              </w:rPr>
            </w:pPr>
          </w:p>
        </w:tc>
        <w:tc>
          <w:tcPr>
            <w:tcW w:w="1354" w:type="pct"/>
            <w:vAlign w:val="center"/>
          </w:tcPr>
          <w:p w14:paraId="6A1BE59E">
            <w:pPr>
              <w:spacing w:line="360" w:lineRule="auto"/>
              <w:jc w:val="center"/>
              <w:rPr>
                <w:rFonts w:ascii="宋体" w:hAnsi="宋体" w:cs="宋体"/>
                <w:szCs w:val="21"/>
              </w:rPr>
            </w:pPr>
          </w:p>
        </w:tc>
        <w:tc>
          <w:tcPr>
            <w:tcW w:w="1102" w:type="pct"/>
            <w:vAlign w:val="center"/>
          </w:tcPr>
          <w:p w14:paraId="27E6B740">
            <w:pPr>
              <w:spacing w:line="360" w:lineRule="auto"/>
              <w:jc w:val="center"/>
              <w:rPr>
                <w:rFonts w:ascii="宋体" w:hAnsi="宋体" w:cs="宋体"/>
                <w:szCs w:val="21"/>
              </w:rPr>
            </w:pPr>
          </w:p>
        </w:tc>
        <w:tc>
          <w:tcPr>
            <w:tcW w:w="580" w:type="pct"/>
          </w:tcPr>
          <w:p w14:paraId="7F03EE4A">
            <w:pPr>
              <w:spacing w:line="360" w:lineRule="auto"/>
              <w:jc w:val="center"/>
              <w:rPr>
                <w:rFonts w:ascii="宋体" w:hAnsi="宋体" w:cs="宋体"/>
                <w:szCs w:val="21"/>
              </w:rPr>
            </w:pPr>
          </w:p>
        </w:tc>
        <w:tc>
          <w:tcPr>
            <w:tcW w:w="921" w:type="pct"/>
            <w:vAlign w:val="center"/>
          </w:tcPr>
          <w:p w14:paraId="14BC023D">
            <w:pPr>
              <w:spacing w:line="360" w:lineRule="auto"/>
              <w:jc w:val="center"/>
              <w:rPr>
                <w:rFonts w:ascii="宋体" w:hAnsi="宋体" w:cs="宋体"/>
                <w:szCs w:val="21"/>
              </w:rPr>
            </w:pPr>
          </w:p>
        </w:tc>
      </w:tr>
    </w:tbl>
    <w:p w14:paraId="01762298">
      <w:pPr>
        <w:spacing w:line="360" w:lineRule="auto"/>
      </w:pPr>
      <w:r>
        <w:rPr>
          <w:rFonts w:hint="eastAsia"/>
        </w:rPr>
        <w:t>注：</w:t>
      </w:r>
    </w:p>
    <w:p w14:paraId="436289DE">
      <w:pPr>
        <w:spacing w:line="360" w:lineRule="auto"/>
        <w:rPr>
          <w:rFonts w:hAnsi="宋体"/>
          <w:bCs/>
          <w:szCs w:val="21"/>
        </w:rPr>
      </w:pPr>
      <w:r>
        <w:rPr>
          <w:rFonts w:hint="eastAsia" w:hAnsi="宋体"/>
          <w:szCs w:val="21"/>
        </w:rPr>
        <w:t>1、序号应对响应产品在</w:t>
      </w:r>
      <w:r>
        <w:rPr>
          <w:rFonts w:hint="eastAsia" w:hAnsi="宋体"/>
          <w:b/>
          <w:bCs/>
          <w:szCs w:val="21"/>
        </w:rPr>
        <w:t>第五章《采购需求》中一、技术要求中的技术参数、性能指标中</w:t>
      </w:r>
      <w:r>
        <w:rPr>
          <w:rFonts w:hint="eastAsia" w:hAnsi="宋体"/>
          <w:bCs/>
          <w:szCs w:val="21"/>
        </w:rPr>
        <w:t>的序号。</w:t>
      </w:r>
    </w:p>
    <w:p w14:paraId="42E70193">
      <w:pPr>
        <w:spacing w:line="360" w:lineRule="auto"/>
        <w:rPr>
          <w:rFonts w:hAnsi="宋体"/>
          <w:bCs/>
          <w:szCs w:val="21"/>
        </w:rPr>
      </w:pPr>
      <w:r>
        <w:rPr>
          <w:rFonts w:hint="eastAsia" w:hAnsi="宋体"/>
          <w:szCs w:val="21"/>
        </w:rPr>
        <w:t>2、</w:t>
      </w:r>
      <w:r>
        <w:rPr>
          <w:rFonts w:hint="eastAsia" w:hAnsi="宋体"/>
          <w:bCs/>
          <w:szCs w:val="21"/>
        </w:rPr>
        <w:t>供应商根据本项目单一来源采购文件</w:t>
      </w:r>
      <w:r>
        <w:rPr>
          <w:rFonts w:hint="eastAsia" w:ascii="宋体" w:hAnsi="宋体" w:cs="宋体"/>
          <w:b/>
          <w:bCs/>
          <w:szCs w:val="21"/>
        </w:rPr>
        <w:t>第五章《采购需求》中一、技术要求中的技术参数、性能指标</w:t>
      </w:r>
      <w:r>
        <w:rPr>
          <w:rFonts w:hint="eastAsia" w:hAnsi="宋体"/>
          <w:bCs/>
          <w:szCs w:val="21"/>
        </w:rPr>
        <w:t>作出全面、真实的反映，技术规范、要求逐条对应答复，</w:t>
      </w:r>
      <w:r>
        <w:rPr>
          <w:rFonts w:hAnsi="宋体"/>
          <w:szCs w:val="21"/>
        </w:rPr>
        <w:t>并在</w:t>
      </w:r>
      <w:r>
        <w:rPr>
          <w:rFonts w:hint="eastAsia" w:hAnsi="宋体"/>
          <w:szCs w:val="21"/>
        </w:rPr>
        <w:t>“响应文件响应情况”一列中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响应文件应以中文应答（英文文本或缩略语需提供中文翻译或注释）。供应商除如实填写技术要求偏离表外，响应文件中提供最新的证明材料。</w:t>
      </w:r>
    </w:p>
    <w:p w14:paraId="15671CE2">
      <w:pPr>
        <w:spacing w:line="360" w:lineRule="auto"/>
        <w:rPr>
          <w:rFonts w:hAnsi="宋体"/>
          <w:bCs/>
          <w:szCs w:val="21"/>
        </w:rPr>
      </w:pPr>
      <w:r>
        <w:rPr>
          <w:rFonts w:hint="eastAsia" w:hAnsi="宋体"/>
          <w:bCs/>
          <w:szCs w:val="21"/>
        </w:rPr>
        <w:t>3、表格中“偏离”一列，供应商只能如实填写“正偏离”、“负偏离”或“无偏离”。凡响应产品技术规格高于单一来源采购要求的，按“正偏离”填写；低于单一来源采购要求的，按“负偏离”填写；满足单一来源采购要求的，按“无偏离”填写。</w:t>
      </w:r>
    </w:p>
    <w:p w14:paraId="0435F3D5">
      <w:pPr>
        <w:rPr>
          <w:rFonts w:ascii="宋体" w:hAnsi="宋体" w:cs="宋体"/>
          <w:b/>
          <w:bCs/>
          <w:szCs w:val="21"/>
        </w:rPr>
      </w:pPr>
      <w:r>
        <w:rPr>
          <w:sz w:val="28"/>
          <w:szCs w:val="28"/>
        </w:rPr>
        <w:br w:type="page"/>
      </w:r>
      <w:bookmarkStart w:id="453" w:name="OLE_LINK362"/>
    </w:p>
    <w:bookmarkEnd w:id="453"/>
    <w:p w14:paraId="401806FA">
      <w:pPr>
        <w:spacing w:line="360" w:lineRule="auto"/>
        <w:jc w:val="center"/>
        <w:outlineLvl w:val="2"/>
        <w:rPr>
          <w:rFonts w:eastAsia="黑体"/>
          <w:sz w:val="30"/>
          <w:szCs w:val="30"/>
        </w:rPr>
      </w:pPr>
      <w:r>
        <w:rPr>
          <w:rFonts w:eastAsia="黑体"/>
          <w:sz w:val="30"/>
          <w:szCs w:val="30"/>
        </w:rPr>
        <w:t>其它技术资料</w:t>
      </w:r>
    </w:p>
    <w:p w14:paraId="18C2318F">
      <w:pPr>
        <w:spacing w:line="360" w:lineRule="auto"/>
        <w:ind w:firstLine="420" w:firstLineChars="200"/>
        <w:jc w:val="center"/>
        <w:rPr>
          <w:rFonts w:ascii="宋体" w:hAnsi="宋体" w:cs="宋体"/>
          <w:szCs w:val="21"/>
        </w:rPr>
      </w:pPr>
      <w:bookmarkStart w:id="454" w:name="_Hlk478978464"/>
      <w:r>
        <w:rPr>
          <w:rFonts w:hint="eastAsia" w:ascii="宋体" w:hAnsi="宋体" w:cs="宋体"/>
          <w:szCs w:val="21"/>
        </w:rPr>
        <w:t>（由供应商按第五章“采购需求”中相应要求自行编写）</w:t>
      </w:r>
    </w:p>
    <w:p w14:paraId="55E99876">
      <w:pPr>
        <w:spacing w:line="360" w:lineRule="auto"/>
        <w:ind w:firstLine="420" w:firstLineChars="200"/>
        <w:rPr>
          <w:rFonts w:ascii="宋体" w:hAnsi="宋体" w:cs="宋体"/>
          <w:b/>
          <w:bCs/>
          <w:szCs w:val="21"/>
        </w:rPr>
      </w:pPr>
      <w:r>
        <w:rPr>
          <w:rFonts w:hint="eastAsia" w:ascii="宋体" w:hAnsi="宋体" w:cs="宋体"/>
          <w:b/>
          <w:bCs/>
          <w:szCs w:val="21"/>
        </w:rPr>
        <w:t>以下内容根据项目技术部分评审内容进行编制（格式自拟）</w:t>
      </w:r>
    </w:p>
    <w:p w14:paraId="78F34B8A">
      <w:pPr>
        <w:spacing w:line="360" w:lineRule="auto"/>
        <w:ind w:firstLine="420" w:firstLineChars="200"/>
        <w:jc w:val="left"/>
        <w:rPr>
          <w:rFonts w:ascii="宋体" w:hAnsi="宋体" w:cs="宋体"/>
          <w:szCs w:val="21"/>
        </w:rPr>
      </w:pPr>
      <w:r>
        <w:rPr>
          <w:rFonts w:hint="eastAsia" w:ascii="宋体" w:hAnsi="宋体" w:cs="宋体"/>
          <w:szCs w:val="21"/>
        </w:rPr>
        <w:t>一、服务方案；</w:t>
      </w:r>
    </w:p>
    <w:p w14:paraId="4AFB5180">
      <w:pPr>
        <w:spacing w:line="360" w:lineRule="auto"/>
        <w:ind w:firstLine="420" w:firstLineChars="200"/>
        <w:jc w:val="left"/>
      </w:pPr>
      <w:r>
        <w:rPr>
          <w:rFonts w:hint="eastAsia"/>
        </w:rPr>
        <w:t>二、服务质量保证及售后服务承诺；</w:t>
      </w:r>
    </w:p>
    <w:p w14:paraId="1B4AE5E9">
      <w:pPr>
        <w:spacing w:line="360" w:lineRule="auto"/>
        <w:ind w:firstLine="420" w:firstLineChars="200"/>
        <w:rPr>
          <w:rFonts w:ascii="宋体" w:hAnsi="宋体" w:cs="宋体"/>
          <w:szCs w:val="21"/>
        </w:rPr>
      </w:pPr>
      <w:r>
        <w:rPr>
          <w:rFonts w:hint="eastAsia" w:ascii="宋体" w:hAnsi="宋体" w:cs="宋体"/>
          <w:szCs w:val="21"/>
        </w:rPr>
        <w:t>三、单一来源采购文件要求及供应商认为有必要提供的其它技术资料；</w:t>
      </w:r>
    </w:p>
    <w:bookmarkEnd w:id="454"/>
    <w:p w14:paraId="6BA64325">
      <w:pPr>
        <w:spacing w:line="360" w:lineRule="auto"/>
      </w:pPr>
      <w:r>
        <w:br w:type="page"/>
      </w:r>
    </w:p>
    <w:p w14:paraId="35C5DFF8">
      <w:pPr>
        <w:pStyle w:val="18"/>
        <w:autoSpaceDE/>
        <w:autoSpaceDN/>
        <w:adjustRightInd/>
        <w:spacing w:line="360" w:lineRule="auto"/>
        <w:jc w:val="center"/>
        <w:outlineLvl w:val="2"/>
        <w:rPr>
          <w:rFonts w:ascii="黑体" w:hAnsi="黑体" w:eastAsia="黑体" w:cs="黑体"/>
          <w:b/>
          <w:bCs/>
          <w:snapToGrid w:val="0"/>
          <w:kern w:val="21"/>
          <w:sz w:val="28"/>
          <w:szCs w:val="28"/>
        </w:rPr>
      </w:pPr>
      <w:bookmarkStart w:id="455" w:name="OLE_LINK1"/>
      <w:r>
        <w:rPr>
          <w:rFonts w:hint="eastAsia" w:ascii="黑体" w:hAnsi="黑体" w:eastAsia="黑体" w:cs="黑体"/>
          <w:snapToGrid w:val="0"/>
          <w:kern w:val="21"/>
          <w:sz w:val="28"/>
          <w:szCs w:val="28"/>
        </w:rPr>
        <w:t>★商务条款偏离表</w:t>
      </w:r>
      <w:bookmarkEnd w:id="455"/>
    </w:p>
    <w:p w14:paraId="11A24C3E">
      <w:pPr>
        <w:spacing w:line="360" w:lineRule="auto"/>
        <w:ind w:firstLine="420"/>
        <w:rPr>
          <w:szCs w:val="21"/>
        </w:rPr>
      </w:pPr>
      <w:r>
        <w:rPr>
          <w:szCs w:val="21"/>
        </w:rPr>
        <w:t>请对应</w:t>
      </w:r>
      <w:r>
        <w:rPr>
          <w:rFonts w:hint="eastAsia"/>
          <w:szCs w:val="21"/>
        </w:rPr>
        <w:t>单一来源采购文件</w:t>
      </w:r>
      <w:r>
        <w:rPr>
          <w:szCs w:val="21"/>
        </w:rPr>
        <w:t>的</w:t>
      </w:r>
      <w:r>
        <w:rPr>
          <w:rFonts w:hint="eastAsia"/>
          <w:szCs w:val="21"/>
        </w:rPr>
        <w:t>合同履行期限（服务期限）</w:t>
      </w:r>
      <w:r>
        <w:rPr>
          <w:szCs w:val="21"/>
        </w:rPr>
        <w:t>、</w:t>
      </w:r>
      <w:r>
        <w:rPr>
          <w:rFonts w:hint="eastAsia"/>
          <w:szCs w:val="21"/>
        </w:rPr>
        <w:t>服务地点</w:t>
      </w:r>
      <w:r>
        <w:rPr>
          <w:szCs w:val="21"/>
        </w:rPr>
        <w:t>、</w:t>
      </w:r>
      <w:r>
        <w:rPr>
          <w:rFonts w:hint="eastAsia"/>
          <w:szCs w:val="21"/>
        </w:rPr>
        <w:t>付款方式</w:t>
      </w:r>
      <w:r>
        <w:rPr>
          <w:szCs w:val="21"/>
        </w:rPr>
        <w:t>、</w:t>
      </w:r>
      <w:r>
        <w:rPr>
          <w:rFonts w:hint="eastAsia"/>
          <w:szCs w:val="21"/>
        </w:rPr>
        <w:t>人员组成</w:t>
      </w:r>
      <w:r>
        <w:rPr>
          <w:szCs w:val="21"/>
        </w:rPr>
        <w:t>、</w:t>
      </w:r>
      <w:r>
        <w:rPr>
          <w:rFonts w:hint="eastAsia"/>
          <w:szCs w:val="21"/>
        </w:rPr>
        <w:t>验收要求、售后服务要求及其它等</w:t>
      </w:r>
      <w:r>
        <w:rPr>
          <w:szCs w:val="21"/>
        </w:rPr>
        <w:t>要求认真填写该表。</w:t>
      </w:r>
    </w:p>
    <w:p w14:paraId="75953263">
      <w:pPr>
        <w:spacing w:line="360" w:lineRule="auto"/>
        <w:ind w:firstLine="420" w:firstLineChars="200"/>
        <w:rPr>
          <w:rFonts w:ascii="宋体" w:hAnsi="宋体" w:cs="宋体"/>
          <w:b/>
          <w:bCs/>
          <w:szCs w:val="21"/>
        </w:rPr>
      </w:pPr>
      <w:r>
        <w:rPr>
          <w:rFonts w:hint="eastAsia" w:ascii="宋体" w:hAnsi="宋体" w:cs="宋体"/>
          <w:b/>
          <w:bCs/>
          <w:szCs w:val="21"/>
        </w:rPr>
        <w:t>A、□我公司已详细阅读单一来源采购文件中商务要求，所有商务要求均无偏离，成交后我公司将严格遵照执行。</w:t>
      </w:r>
    </w:p>
    <w:p w14:paraId="365836A5">
      <w:pPr>
        <w:spacing w:line="360" w:lineRule="auto"/>
        <w:ind w:firstLine="420" w:firstLineChars="200"/>
        <w:rPr>
          <w:rFonts w:ascii="宋体" w:hAnsi="宋体" w:cs="宋体"/>
          <w:b/>
          <w:bCs/>
          <w:szCs w:val="21"/>
        </w:rPr>
      </w:pPr>
      <w:r>
        <w:rPr>
          <w:rFonts w:hint="eastAsia" w:ascii="宋体" w:hAnsi="宋体" w:cs="宋体"/>
          <w:b/>
          <w:bCs/>
          <w:szCs w:val="21"/>
        </w:rPr>
        <w:t>B、□我公司已详细阅读单一来源采购文件中商务要求，除下述条款有偏离外，其余条款我公司均予以认可，成交后将严格遵照执行。</w:t>
      </w:r>
    </w:p>
    <w:tbl>
      <w:tblPr>
        <w:tblStyle w:val="38"/>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732"/>
        <w:gridCol w:w="3082"/>
        <w:gridCol w:w="2232"/>
        <w:gridCol w:w="1235"/>
      </w:tblGrid>
      <w:tr w14:paraId="31EDD7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517" w:type="pct"/>
            <w:tcBorders>
              <w:tl2br w:val="nil"/>
              <w:tr2bl w:val="nil"/>
            </w:tcBorders>
            <w:vAlign w:val="center"/>
          </w:tcPr>
          <w:p w14:paraId="010C1D9A">
            <w:pPr>
              <w:pStyle w:val="18"/>
              <w:spacing w:line="360" w:lineRule="auto"/>
              <w:jc w:val="center"/>
              <w:rPr>
                <w:rFonts w:hAnsi="宋体"/>
                <w:b/>
                <w:szCs w:val="21"/>
              </w:rPr>
            </w:pPr>
            <w:r>
              <w:rPr>
                <w:rFonts w:hint="eastAsia" w:hAnsi="宋体"/>
                <w:b/>
                <w:szCs w:val="21"/>
              </w:rPr>
              <w:t>序号</w:t>
            </w:r>
          </w:p>
        </w:tc>
        <w:tc>
          <w:tcPr>
            <w:tcW w:w="937" w:type="pct"/>
            <w:tcBorders>
              <w:tl2br w:val="nil"/>
              <w:tr2bl w:val="nil"/>
            </w:tcBorders>
            <w:vAlign w:val="center"/>
          </w:tcPr>
          <w:p w14:paraId="49BA9A1E">
            <w:pPr>
              <w:pStyle w:val="18"/>
              <w:spacing w:line="360" w:lineRule="auto"/>
              <w:jc w:val="center"/>
              <w:rPr>
                <w:rFonts w:hAnsi="宋体"/>
                <w:b/>
                <w:szCs w:val="21"/>
              </w:rPr>
            </w:pPr>
            <w:r>
              <w:rPr>
                <w:rFonts w:hint="eastAsia" w:hAnsi="宋体"/>
                <w:b/>
                <w:szCs w:val="21"/>
              </w:rPr>
              <w:t>单一来源采购文件</w:t>
            </w:r>
            <w:r>
              <w:rPr>
                <w:rFonts w:ascii="Times New Roman"/>
                <w:b/>
                <w:szCs w:val="21"/>
              </w:rPr>
              <w:t>条目号</w:t>
            </w:r>
          </w:p>
        </w:tc>
        <w:tc>
          <w:tcPr>
            <w:tcW w:w="1668" w:type="pct"/>
            <w:tcBorders>
              <w:tl2br w:val="nil"/>
              <w:tr2bl w:val="nil"/>
            </w:tcBorders>
            <w:vAlign w:val="center"/>
          </w:tcPr>
          <w:p w14:paraId="332A7784">
            <w:pPr>
              <w:pStyle w:val="18"/>
              <w:spacing w:line="360" w:lineRule="auto"/>
              <w:jc w:val="center"/>
              <w:rPr>
                <w:rFonts w:hAnsi="宋体"/>
                <w:b/>
                <w:kern w:val="2"/>
                <w:sz w:val="21"/>
                <w:szCs w:val="21"/>
              </w:rPr>
            </w:pPr>
            <w:r>
              <w:rPr>
                <w:rFonts w:hint="eastAsia" w:hAnsi="宋体"/>
                <w:b/>
                <w:szCs w:val="21"/>
              </w:rPr>
              <w:t>单一来源采购文件商务要求</w:t>
            </w:r>
          </w:p>
        </w:tc>
        <w:tc>
          <w:tcPr>
            <w:tcW w:w="1208" w:type="pct"/>
            <w:tcBorders>
              <w:tl2br w:val="nil"/>
              <w:tr2bl w:val="nil"/>
            </w:tcBorders>
            <w:vAlign w:val="center"/>
          </w:tcPr>
          <w:p w14:paraId="57E770E9">
            <w:pPr>
              <w:pStyle w:val="18"/>
              <w:spacing w:line="360" w:lineRule="auto"/>
              <w:jc w:val="center"/>
              <w:rPr>
                <w:rFonts w:hAnsi="宋体"/>
                <w:b/>
                <w:kern w:val="2"/>
                <w:sz w:val="21"/>
                <w:szCs w:val="21"/>
              </w:rPr>
            </w:pPr>
            <w:r>
              <w:rPr>
                <w:rFonts w:hint="eastAsia" w:hAnsi="宋体"/>
                <w:b/>
                <w:szCs w:val="21"/>
              </w:rPr>
              <w:t>响应文件响应情况</w:t>
            </w:r>
          </w:p>
        </w:tc>
        <w:tc>
          <w:tcPr>
            <w:tcW w:w="668" w:type="pct"/>
            <w:tcBorders>
              <w:tl2br w:val="nil"/>
              <w:tr2bl w:val="nil"/>
            </w:tcBorders>
            <w:vAlign w:val="center"/>
          </w:tcPr>
          <w:p w14:paraId="202D47C1">
            <w:pPr>
              <w:pStyle w:val="18"/>
              <w:spacing w:line="360" w:lineRule="auto"/>
              <w:jc w:val="center"/>
              <w:rPr>
                <w:rFonts w:hAnsi="宋体"/>
                <w:b/>
                <w:kern w:val="2"/>
                <w:sz w:val="21"/>
                <w:szCs w:val="21"/>
              </w:rPr>
            </w:pPr>
            <w:r>
              <w:rPr>
                <w:rFonts w:hint="eastAsia" w:hAnsi="宋体"/>
                <w:b/>
                <w:szCs w:val="21"/>
              </w:rPr>
              <w:t>偏离说明</w:t>
            </w:r>
          </w:p>
        </w:tc>
      </w:tr>
      <w:tr w14:paraId="5AB39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5FEBC1E9">
            <w:pPr>
              <w:pStyle w:val="18"/>
              <w:spacing w:line="360" w:lineRule="auto"/>
              <w:rPr>
                <w:rFonts w:hAnsi="宋体"/>
                <w:szCs w:val="21"/>
              </w:rPr>
            </w:pPr>
          </w:p>
        </w:tc>
        <w:tc>
          <w:tcPr>
            <w:tcW w:w="937" w:type="pct"/>
            <w:tcBorders>
              <w:tl2br w:val="nil"/>
              <w:tr2bl w:val="nil"/>
            </w:tcBorders>
          </w:tcPr>
          <w:p w14:paraId="151E7A45">
            <w:pPr>
              <w:pStyle w:val="18"/>
              <w:spacing w:line="360" w:lineRule="auto"/>
              <w:rPr>
                <w:rFonts w:hAnsi="宋体"/>
                <w:szCs w:val="21"/>
              </w:rPr>
            </w:pPr>
          </w:p>
        </w:tc>
        <w:tc>
          <w:tcPr>
            <w:tcW w:w="1668" w:type="pct"/>
            <w:tcBorders>
              <w:tl2br w:val="nil"/>
              <w:tr2bl w:val="nil"/>
            </w:tcBorders>
          </w:tcPr>
          <w:p w14:paraId="17E5B12A">
            <w:pPr>
              <w:pStyle w:val="18"/>
              <w:spacing w:line="360" w:lineRule="auto"/>
              <w:rPr>
                <w:rFonts w:hAnsi="宋体"/>
                <w:szCs w:val="21"/>
              </w:rPr>
            </w:pPr>
          </w:p>
        </w:tc>
        <w:tc>
          <w:tcPr>
            <w:tcW w:w="1208" w:type="pct"/>
            <w:tcBorders>
              <w:tl2br w:val="nil"/>
              <w:tr2bl w:val="nil"/>
            </w:tcBorders>
          </w:tcPr>
          <w:p w14:paraId="40F571DF">
            <w:pPr>
              <w:pStyle w:val="18"/>
              <w:spacing w:line="360" w:lineRule="auto"/>
              <w:rPr>
                <w:rFonts w:hAnsi="宋体"/>
                <w:szCs w:val="21"/>
              </w:rPr>
            </w:pPr>
          </w:p>
        </w:tc>
        <w:tc>
          <w:tcPr>
            <w:tcW w:w="668" w:type="pct"/>
            <w:tcBorders>
              <w:tl2br w:val="nil"/>
              <w:tr2bl w:val="nil"/>
            </w:tcBorders>
          </w:tcPr>
          <w:p w14:paraId="716656EF">
            <w:pPr>
              <w:pStyle w:val="18"/>
              <w:spacing w:line="360" w:lineRule="auto"/>
              <w:rPr>
                <w:rFonts w:hAnsi="宋体"/>
                <w:szCs w:val="21"/>
              </w:rPr>
            </w:pPr>
          </w:p>
        </w:tc>
      </w:tr>
      <w:tr w14:paraId="79B2AF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4A51C33A">
            <w:pPr>
              <w:pStyle w:val="18"/>
              <w:spacing w:line="360" w:lineRule="auto"/>
              <w:rPr>
                <w:rFonts w:hAnsi="宋体"/>
                <w:szCs w:val="21"/>
              </w:rPr>
            </w:pPr>
          </w:p>
        </w:tc>
        <w:tc>
          <w:tcPr>
            <w:tcW w:w="937" w:type="pct"/>
            <w:tcBorders>
              <w:tl2br w:val="nil"/>
              <w:tr2bl w:val="nil"/>
            </w:tcBorders>
          </w:tcPr>
          <w:p w14:paraId="5C20A0AA">
            <w:pPr>
              <w:pStyle w:val="18"/>
              <w:spacing w:line="360" w:lineRule="auto"/>
              <w:rPr>
                <w:rFonts w:hAnsi="宋体"/>
                <w:szCs w:val="21"/>
              </w:rPr>
            </w:pPr>
          </w:p>
        </w:tc>
        <w:tc>
          <w:tcPr>
            <w:tcW w:w="1668" w:type="pct"/>
            <w:tcBorders>
              <w:tl2br w:val="nil"/>
              <w:tr2bl w:val="nil"/>
            </w:tcBorders>
          </w:tcPr>
          <w:p w14:paraId="1E158861">
            <w:pPr>
              <w:pStyle w:val="18"/>
              <w:spacing w:line="360" w:lineRule="auto"/>
              <w:rPr>
                <w:rFonts w:hAnsi="宋体"/>
                <w:szCs w:val="21"/>
              </w:rPr>
            </w:pPr>
          </w:p>
        </w:tc>
        <w:tc>
          <w:tcPr>
            <w:tcW w:w="1208" w:type="pct"/>
            <w:tcBorders>
              <w:tl2br w:val="nil"/>
              <w:tr2bl w:val="nil"/>
            </w:tcBorders>
          </w:tcPr>
          <w:p w14:paraId="7116EC08">
            <w:pPr>
              <w:pStyle w:val="18"/>
              <w:spacing w:line="360" w:lineRule="auto"/>
              <w:rPr>
                <w:rFonts w:hAnsi="宋体"/>
                <w:szCs w:val="21"/>
              </w:rPr>
            </w:pPr>
          </w:p>
        </w:tc>
        <w:tc>
          <w:tcPr>
            <w:tcW w:w="668" w:type="pct"/>
            <w:tcBorders>
              <w:tl2br w:val="nil"/>
              <w:tr2bl w:val="nil"/>
            </w:tcBorders>
          </w:tcPr>
          <w:p w14:paraId="59F211B2">
            <w:pPr>
              <w:pStyle w:val="18"/>
              <w:spacing w:line="360" w:lineRule="auto"/>
              <w:rPr>
                <w:rFonts w:hAnsi="宋体"/>
                <w:szCs w:val="21"/>
              </w:rPr>
            </w:pPr>
          </w:p>
        </w:tc>
      </w:tr>
      <w:tr w14:paraId="422386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04AD9F4B">
            <w:pPr>
              <w:pStyle w:val="18"/>
              <w:spacing w:line="360" w:lineRule="auto"/>
              <w:rPr>
                <w:rFonts w:hAnsi="宋体"/>
                <w:szCs w:val="21"/>
              </w:rPr>
            </w:pPr>
          </w:p>
        </w:tc>
        <w:tc>
          <w:tcPr>
            <w:tcW w:w="937" w:type="pct"/>
            <w:tcBorders>
              <w:tl2br w:val="nil"/>
              <w:tr2bl w:val="nil"/>
            </w:tcBorders>
          </w:tcPr>
          <w:p w14:paraId="0BB952E1">
            <w:pPr>
              <w:pStyle w:val="18"/>
              <w:spacing w:line="360" w:lineRule="auto"/>
              <w:rPr>
                <w:rFonts w:hAnsi="宋体"/>
                <w:szCs w:val="21"/>
              </w:rPr>
            </w:pPr>
          </w:p>
        </w:tc>
        <w:tc>
          <w:tcPr>
            <w:tcW w:w="1668" w:type="pct"/>
            <w:tcBorders>
              <w:tl2br w:val="nil"/>
              <w:tr2bl w:val="nil"/>
            </w:tcBorders>
          </w:tcPr>
          <w:p w14:paraId="02A394D3">
            <w:pPr>
              <w:pStyle w:val="18"/>
              <w:spacing w:line="360" w:lineRule="auto"/>
              <w:rPr>
                <w:rFonts w:hAnsi="宋体"/>
                <w:szCs w:val="21"/>
              </w:rPr>
            </w:pPr>
          </w:p>
        </w:tc>
        <w:tc>
          <w:tcPr>
            <w:tcW w:w="1208" w:type="pct"/>
            <w:tcBorders>
              <w:tl2br w:val="nil"/>
              <w:tr2bl w:val="nil"/>
            </w:tcBorders>
          </w:tcPr>
          <w:p w14:paraId="2C9077A8">
            <w:pPr>
              <w:pStyle w:val="18"/>
              <w:spacing w:line="360" w:lineRule="auto"/>
              <w:rPr>
                <w:rFonts w:hAnsi="宋体"/>
                <w:szCs w:val="21"/>
              </w:rPr>
            </w:pPr>
          </w:p>
        </w:tc>
        <w:tc>
          <w:tcPr>
            <w:tcW w:w="668" w:type="pct"/>
            <w:tcBorders>
              <w:tl2br w:val="nil"/>
              <w:tr2bl w:val="nil"/>
            </w:tcBorders>
          </w:tcPr>
          <w:p w14:paraId="6922C037">
            <w:pPr>
              <w:pStyle w:val="18"/>
              <w:spacing w:line="360" w:lineRule="auto"/>
              <w:rPr>
                <w:rFonts w:hAnsi="宋体"/>
                <w:szCs w:val="21"/>
              </w:rPr>
            </w:pPr>
          </w:p>
        </w:tc>
      </w:tr>
      <w:tr w14:paraId="7656F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6A542260">
            <w:pPr>
              <w:pStyle w:val="18"/>
              <w:spacing w:line="360" w:lineRule="auto"/>
              <w:rPr>
                <w:rFonts w:hAnsi="宋体"/>
                <w:szCs w:val="21"/>
              </w:rPr>
            </w:pPr>
          </w:p>
        </w:tc>
        <w:tc>
          <w:tcPr>
            <w:tcW w:w="937" w:type="pct"/>
            <w:tcBorders>
              <w:tl2br w:val="nil"/>
              <w:tr2bl w:val="nil"/>
            </w:tcBorders>
          </w:tcPr>
          <w:p w14:paraId="455B7D84">
            <w:pPr>
              <w:pStyle w:val="18"/>
              <w:spacing w:line="360" w:lineRule="auto"/>
              <w:rPr>
                <w:rFonts w:hAnsi="宋体"/>
                <w:szCs w:val="21"/>
              </w:rPr>
            </w:pPr>
          </w:p>
        </w:tc>
        <w:tc>
          <w:tcPr>
            <w:tcW w:w="1668" w:type="pct"/>
            <w:tcBorders>
              <w:tl2br w:val="nil"/>
              <w:tr2bl w:val="nil"/>
            </w:tcBorders>
          </w:tcPr>
          <w:p w14:paraId="1F83A4D5">
            <w:pPr>
              <w:pStyle w:val="18"/>
              <w:spacing w:line="360" w:lineRule="auto"/>
              <w:rPr>
                <w:rFonts w:hAnsi="宋体"/>
                <w:szCs w:val="21"/>
              </w:rPr>
            </w:pPr>
          </w:p>
        </w:tc>
        <w:tc>
          <w:tcPr>
            <w:tcW w:w="1208" w:type="pct"/>
            <w:tcBorders>
              <w:tl2br w:val="nil"/>
              <w:tr2bl w:val="nil"/>
            </w:tcBorders>
          </w:tcPr>
          <w:p w14:paraId="325BFB79">
            <w:pPr>
              <w:pStyle w:val="18"/>
              <w:spacing w:line="360" w:lineRule="auto"/>
              <w:rPr>
                <w:rFonts w:hAnsi="宋体"/>
                <w:szCs w:val="21"/>
              </w:rPr>
            </w:pPr>
          </w:p>
        </w:tc>
        <w:tc>
          <w:tcPr>
            <w:tcW w:w="668" w:type="pct"/>
            <w:tcBorders>
              <w:tl2br w:val="nil"/>
              <w:tr2bl w:val="nil"/>
            </w:tcBorders>
          </w:tcPr>
          <w:p w14:paraId="30AFFB0C">
            <w:pPr>
              <w:pStyle w:val="18"/>
              <w:spacing w:line="360" w:lineRule="auto"/>
              <w:rPr>
                <w:rFonts w:hAnsi="宋体"/>
                <w:szCs w:val="21"/>
              </w:rPr>
            </w:pPr>
          </w:p>
        </w:tc>
      </w:tr>
      <w:tr w14:paraId="180C57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7DA54354">
            <w:pPr>
              <w:pStyle w:val="18"/>
              <w:spacing w:line="360" w:lineRule="auto"/>
              <w:rPr>
                <w:rFonts w:hAnsi="宋体"/>
                <w:szCs w:val="21"/>
              </w:rPr>
            </w:pPr>
          </w:p>
        </w:tc>
        <w:tc>
          <w:tcPr>
            <w:tcW w:w="937" w:type="pct"/>
            <w:tcBorders>
              <w:tl2br w:val="nil"/>
              <w:tr2bl w:val="nil"/>
            </w:tcBorders>
          </w:tcPr>
          <w:p w14:paraId="24EC7E01">
            <w:pPr>
              <w:pStyle w:val="18"/>
              <w:spacing w:line="360" w:lineRule="auto"/>
              <w:rPr>
                <w:rFonts w:hAnsi="宋体"/>
                <w:szCs w:val="21"/>
              </w:rPr>
            </w:pPr>
          </w:p>
        </w:tc>
        <w:tc>
          <w:tcPr>
            <w:tcW w:w="1668" w:type="pct"/>
            <w:tcBorders>
              <w:tl2br w:val="nil"/>
              <w:tr2bl w:val="nil"/>
            </w:tcBorders>
          </w:tcPr>
          <w:p w14:paraId="034E6664">
            <w:pPr>
              <w:pStyle w:val="18"/>
              <w:spacing w:line="360" w:lineRule="auto"/>
              <w:rPr>
                <w:rFonts w:hAnsi="宋体"/>
                <w:szCs w:val="21"/>
              </w:rPr>
            </w:pPr>
          </w:p>
        </w:tc>
        <w:tc>
          <w:tcPr>
            <w:tcW w:w="1208" w:type="pct"/>
            <w:tcBorders>
              <w:tl2br w:val="nil"/>
              <w:tr2bl w:val="nil"/>
            </w:tcBorders>
          </w:tcPr>
          <w:p w14:paraId="79923B7F">
            <w:pPr>
              <w:pStyle w:val="18"/>
              <w:spacing w:line="360" w:lineRule="auto"/>
              <w:rPr>
                <w:rFonts w:hAnsi="宋体"/>
                <w:szCs w:val="21"/>
              </w:rPr>
            </w:pPr>
          </w:p>
        </w:tc>
        <w:tc>
          <w:tcPr>
            <w:tcW w:w="668" w:type="pct"/>
            <w:tcBorders>
              <w:tl2br w:val="nil"/>
              <w:tr2bl w:val="nil"/>
            </w:tcBorders>
          </w:tcPr>
          <w:p w14:paraId="761ECED8">
            <w:pPr>
              <w:pStyle w:val="18"/>
              <w:spacing w:line="360" w:lineRule="auto"/>
              <w:rPr>
                <w:rFonts w:hAnsi="宋体"/>
                <w:szCs w:val="21"/>
              </w:rPr>
            </w:pPr>
          </w:p>
        </w:tc>
      </w:tr>
      <w:tr w14:paraId="5A4A9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0CA4ADFC">
            <w:pPr>
              <w:pStyle w:val="18"/>
              <w:spacing w:line="360" w:lineRule="auto"/>
              <w:rPr>
                <w:rFonts w:hAnsi="宋体"/>
                <w:szCs w:val="21"/>
              </w:rPr>
            </w:pPr>
          </w:p>
        </w:tc>
        <w:tc>
          <w:tcPr>
            <w:tcW w:w="937" w:type="pct"/>
            <w:tcBorders>
              <w:tl2br w:val="nil"/>
              <w:tr2bl w:val="nil"/>
            </w:tcBorders>
          </w:tcPr>
          <w:p w14:paraId="6CB0FB5D">
            <w:pPr>
              <w:pStyle w:val="18"/>
              <w:spacing w:line="360" w:lineRule="auto"/>
              <w:rPr>
                <w:rFonts w:hAnsi="宋体"/>
                <w:szCs w:val="21"/>
              </w:rPr>
            </w:pPr>
          </w:p>
        </w:tc>
        <w:tc>
          <w:tcPr>
            <w:tcW w:w="1668" w:type="pct"/>
            <w:tcBorders>
              <w:tl2br w:val="nil"/>
              <w:tr2bl w:val="nil"/>
            </w:tcBorders>
          </w:tcPr>
          <w:p w14:paraId="20933E51">
            <w:pPr>
              <w:pStyle w:val="18"/>
              <w:spacing w:line="360" w:lineRule="auto"/>
              <w:rPr>
                <w:rFonts w:hAnsi="宋体"/>
                <w:szCs w:val="21"/>
              </w:rPr>
            </w:pPr>
          </w:p>
        </w:tc>
        <w:tc>
          <w:tcPr>
            <w:tcW w:w="1208" w:type="pct"/>
            <w:tcBorders>
              <w:tl2br w:val="nil"/>
              <w:tr2bl w:val="nil"/>
            </w:tcBorders>
          </w:tcPr>
          <w:p w14:paraId="1FC3598D">
            <w:pPr>
              <w:pStyle w:val="18"/>
              <w:spacing w:line="360" w:lineRule="auto"/>
              <w:rPr>
                <w:rFonts w:hAnsi="宋体"/>
                <w:szCs w:val="21"/>
              </w:rPr>
            </w:pPr>
          </w:p>
        </w:tc>
        <w:tc>
          <w:tcPr>
            <w:tcW w:w="668" w:type="pct"/>
            <w:tcBorders>
              <w:tl2br w:val="nil"/>
              <w:tr2bl w:val="nil"/>
            </w:tcBorders>
          </w:tcPr>
          <w:p w14:paraId="3259FA5B">
            <w:pPr>
              <w:pStyle w:val="18"/>
              <w:spacing w:line="360" w:lineRule="auto"/>
              <w:rPr>
                <w:rFonts w:hAnsi="宋体"/>
                <w:szCs w:val="21"/>
              </w:rPr>
            </w:pPr>
          </w:p>
        </w:tc>
      </w:tr>
      <w:tr w14:paraId="077EC3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7A98911C">
            <w:pPr>
              <w:pStyle w:val="18"/>
              <w:spacing w:line="360" w:lineRule="auto"/>
              <w:rPr>
                <w:rFonts w:hAnsi="宋体"/>
                <w:szCs w:val="21"/>
              </w:rPr>
            </w:pPr>
          </w:p>
        </w:tc>
        <w:tc>
          <w:tcPr>
            <w:tcW w:w="937" w:type="pct"/>
            <w:tcBorders>
              <w:tl2br w:val="nil"/>
              <w:tr2bl w:val="nil"/>
            </w:tcBorders>
          </w:tcPr>
          <w:p w14:paraId="2947A628">
            <w:pPr>
              <w:pStyle w:val="18"/>
              <w:spacing w:line="360" w:lineRule="auto"/>
              <w:rPr>
                <w:rFonts w:hAnsi="宋体"/>
                <w:szCs w:val="21"/>
              </w:rPr>
            </w:pPr>
          </w:p>
        </w:tc>
        <w:tc>
          <w:tcPr>
            <w:tcW w:w="1668" w:type="pct"/>
            <w:tcBorders>
              <w:tl2br w:val="nil"/>
              <w:tr2bl w:val="nil"/>
            </w:tcBorders>
          </w:tcPr>
          <w:p w14:paraId="5B3CB438">
            <w:pPr>
              <w:pStyle w:val="18"/>
              <w:spacing w:line="360" w:lineRule="auto"/>
              <w:rPr>
                <w:rFonts w:hAnsi="宋体"/>
                <w:szCs w:val="21"/>
              </w:rPr>
            </w:pPr>
          </w:p>
        </w:tc>
        <w:tc>
          <w:tcPr>
            <w:tcW w:w="1208" w:type="pct"/>
            <w:tcBorders>
              <w:tl2br w:val="nil"/>
              <w:tr2bl w:val="nil"/>
            </w:tcBorders>
          </w:tcPr>
          <w:p w14:paraId="7C62489D">
            <w:pPr>
              <w:pStyle w:val="18"/>
              <w:spacing w:line="360" w:lineRule="auto"/>
              <w:rPr>
                <w:rFonts w:hAnsi="宋体"/>
                <w:szCs w:val="21"/>
              </w:rPr>
            </w:pPr>
          </w:p>
        </w:tc>
        <w:tc>
          <w:tcPr>
            <w:tcW w:w="668" w:type="pct"/>
            <w:tcBorders>
              <w:tl2br w:val="nil"/>
              <w:tr2bl w:val="nil"/>
            </w:tcBorders>
          </w:tcPr>
          <w:p w14:paraId="0D220508">
            <w:pPr>
              <w:pStyle w:val="18"/>
              <w:spacing w:line="360" w:lineRule="auto"/>
              <w:rPr>
                <w:rFonts w:hAnsi="宋体"/>
                <w:szCs w:val="21"/>
              </w:rPr>
            </w:pPr>
          </w:p>
        </w:tc>
      </w:tr>
      <w:tr w14:paraId="60A386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3C4152D4">
            <w:pPr>
              <w:pStyle w:val="18"/>
              <w:spacing w:line="360" w:lineRule="auto"/>
              <w:rPr>
                <w:rFonts w:hAnsi="宋体"/>
                <w:szCs w:val="21"/>
              </w:rPr>
            </w:pPr>
          </w:p>
        </w:tc>
        <w:tc>
          <w:tcPr>
            <w:tcW w:w="937" w:type="pct"/>
            <w:tcBorders>
              <w:tl2br w:val="nil"/>
              <w:tr2bl w:val="nil"/>
            </w:tcBorders>
          </w:tcPr>
          <w:p w14:paraId="6FB3613A">
            <w:pPr>
              <w:pStyle w:val="18"/>
              <w:spacing w:line="360" w:lineRule="auto"/>
              <w:rPr>
                <w:rFonts w:hAnsi="宋体"/>
                <w:szCs w:val="21"/>
              </w:rPr>
            </w:pPr>
          </w:p>
        </w:tc>
        <w:tc>
          <w:tcPr>
            <w:tcW w:w="1668" w:type="pct"/>
            <w:tcBorders>
              <w:tl2br w:val="nil"/>
              <w:tr2bl w:val="nil"/>
            </w:tcBorders>
          </w:tcPr>
          <w:p w14:paraId="731CCABA">
            <w:pPr>
              <w:pStyle w:val="18"/>
              <w:spacing w:line="360" w:lineRule="auto"/>
              <w:rPr>
                <w:rFonts w:hAnsi="宋体"/>
                <w:szCs w:val="21"/>
              </w:rPr>
            </w:pPr>
          </w:p>
        </w:tc>
        <w:tc>
          <w:tcPr>
            <w:tcW w:w="1208" w:type="pct"/>
            <w:tcBorders>
              <w:tl2br w:val="nil"/>
              <w:tr2bl w:val="nil"/>
            </w:tcBorders>
          </w:tcPr>
          <w:p w14:paraId="214CE070">
            <w:pPr>
              <w:pStyle w:val="18"/>
              <w:spacing w:line="360" w:lineRule="auto"/>
              <w:rPr>
                <w:rFonts w:hAnsi="宋体"/>
                <w:szCs w:val="21"/>
              </w:rPr>
            </w:pPr>
          </w:p>
        </w:tc>
        <w:tc>
          <w:tcPr>
            <w:tcW w:w="668" w:type="pct"/>
            <w:tcBorders>
              <w:tl2br w:val="nil"/>
              <w:tr2bl w:val="nil"/>
            </w:tcBorders>
          </w:tcPr>
          <w:p w14:paraId="2F1D9582">
            <w:pPr>
              <w:pStyle w:val="18"/>
              <w:spacing w:line="360" w:lineRule="auto"/>
              <w:rPr>
                <w:rFonts w:hAnsi="宋体"/>
                <w:szCs w:val="21"/>
              </w:rPr>
            </w:pPr>
          </w:p>
        </w:tc>
      </w:tr>
      <w:tr w14:paraId="198143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tcPr>
          <w:p w14:paraId="3D042A91">
            <w:pPr>
              <w:pStyle w:val="18"/>
              <w:spacing w:line="360" w:lineRule="auto"/>
              <w:rPr>
                <w:rFonts w:hAnsi="宋体"/>
                <w:szCs w:val="21"/>
              </w:rPr>
            </w:pPr>
          </w:p>
        </w:tc>
        <w:tc>
          <w:tcPr>
            <w:tcW w:w="937" w:type="pct"/>
            <w:tcBorders>
              <w:tl2br w:val="nil"/>
              <w:tr2bl w:val="nil"/>
            </w:tcBorders>
          </w:tcPr>
          <w:p w14:paraId="2E34D3ED">
            <w:pPr>
              <w:pStyle w:val="18"/>
              <w:spacing w:line="360" w:lineRule="auto"/>
              <w:rPr>
                <w:rFonts w:hAnsi="宋体"/>
                <w:szCs w:val="21"/>
              </w:rPr>
            </w:pPr>
          </w:p>
        </w:tc>
        <w:tc>
          <w:tcPr>
            <w:tcW w:w="1668" w:type="pct"/>
            <w:tcBorders>
              <w:tl2br w:val="nil"/>
              <w:tr2bl w:val="nil"/>
            </w:tcBorders>
          </w:tcPr>
          <w:p w14:paraId="2C7D7529">
            <w:pPr>
              <w:pStyle w:val="18"/>
              <w:spacing w:line="360" w:lineRule="auto"/>
              <w:rPr>
                <w:rFonts w:hAnsi="宋体"/>
                <w:szCs w:val="21"/>
              </w:rPr>
            </w:pPr>
          </w:p>
        </w:tc>
        <w:tc>
          <w:tcPr>
            <w:tcW w:w="1208" w:type="pct"/>
            <w:tcBorders>
              <w:tl2br w:val="nil"/>
              <w:tr2bl w:val="nil"/>
            </w:tcBorders>
          </w:tcPr>
          <w:p w14:paraId="0AB74D76">
            <w:pPr>
              <w:pStyle w:val="18"/>
              <w:spacing w:line="360" w:lineRule="auto"/>
              <w:rPr>
                <w:rFonts w:hAnsi="宋体"/>
                <w:szCs w:val="21"/>
              </w:rPr>
            </w:pPr>
          </w:p>
        </w:tc>
        <w:tc>
          <w:tcPr>
            <w:tcW w:w="668" w:type="pct"/>
            <w:tcBorders>
              <w:tl2br w:val="nil"/>
              <w:tr2bl w:val="nil"/>
            </w:tcBorders>
          </w:tcPr>
          <w:p w14:paraId="4D30CCC3">
            <w:pPr>
              <w:pStyle w:val="18"/>
              <w:spacing w:line="360" w:lineRule="auto"/>
              <w:rPr>
                <w:rFonts w:hAnsi="宋体"/>
                <w:szCs w:val="21"/>
              </w:rPr>
            </w:pPr>
          </w:p>
        </w:tc>
      </w:tr>
    </w:tbl>
    <w:p w14:paraId="0B8E0414">
      <w:pPr>
        <w:spacing w:line="360" w:lineRule="auto"/>
        <w:rPr>
          <w:rFonts w:ascii="宋体" w:hAnsi="宋体" w:cs="宋体"/>
          <w:b/>
          <w:szCs w:val="21"/>
        </w:rPr>
      </w:pPr>
      <w:r>
        <w:rPr>
          <w:rFonts w:hint="eastAsia" w:ascii="宋体" w:hAnsi="宋体" w:cs="宋体"/>
          <w:b/>
          <w:szCs w:val="21"/>
        </w:rPr>
        <w:t>表格填写说明：</w:t>
      </w:r>
    </w:p>
    <w:p w14:paraId="2B2120D7">
      <w:pPr>
        <w:pStyle w:val="12"/>
        <w:spacing w:before="156"/>
      </w:pPr>
      <w:r>
        <w:rPr>
          <w:rFonts w:hint="eastAsia"/>
        </w:rPr>
        <w:t>1、供应商根据应根据实际响应情况，填写本表格，若无偏离，则</w:t>
      </w:r>
      <w:r>
        <w:rPr>
          <w:rFonts w:hint="eastAsia"/>
          <w:b/>
          <w:bCs/>
        </w:rPr>
        <w:t>勾选A项</w:t>
      </w:r>
      <w:r>
        <w:rPr>
          <w:rFonts w:hint="eastAsia"/>
        </w:rPr>
        <w:t>。若有偏离，则</w:t>
      </w:r>
      <w:r>
        <w:rPr>
          <w:rFonts w:hint="eastAsia"/>
          <w:b/>
          <w:bCs/>
        </w:rPr>
        <w:t>勾选B项</w:t>
      </w:r>
      <w:r>
        <w:rPr>
          <w:rFonts w:hint="eastAsia"/>
        </w:rPr>
        <w:t>，按表格要求及实际情况填写。表格中只需填写有“偏离”部分，“无偏离”部分不用填写。</w:t>
      </w:r>
    </w:p>
    <w:p w14:paraId="4912851D">
      <w:pPr>
        <w:spacing w:line="360" w:lineRule="auto"/>
        <w:rPr>
          <w:szCs w:val="21"/>
        </w:rPr>
      </w:pPr>
      <w:r>
        <w:rPr>
          <w:rFonts w:hint="eastAsia"/>
          <w:szCs w:val="21"/>
        </w:rPr>
        <w:t>2、</w:t>
      </w:r>
      <w:r>
        <w:rPr>
          <w:rFonts w:hint="eastAsia" w:ascii="宋体" w:hAnsi="宋体" w:cs="宋体"/>
          <w:szCs w:val="21"/>
        </w:rPr>
        <w:t>“偏离”系指“正偏离”、“负偏离”或“无偏离”</w:t>
      </w:r>
      <w:r>
        <w:rPr>
          <w:szCs w:val="21"/>
        </w:rPr>
        <w:t>。</w:t>
      </w:r>
    </w:p>
    <w:p w14:paraId="5FD68085">
      <w:pPr>
        <w:pStyle w:val="12"/>
        <w:spacing w:before="156"/>
        <w:rPr>
          <w:b/>
          <w:bCs/>
        </w:rPr>
      </w:pPr>
      <w:r>
        <w:rPr>
          <w:rFonts w:hint="eastAsia"/>
        </w:rPr>
        <w:t>3、勾选示例：</w:t>
      </w:r>
      <w:r>
        <w:rPr>
          <w:rFonts w:hint="eastAsia"/>
          <w:b/>
          <w:bCs/>
        </w:rPr>
        <w:sym w:font="Wingdings 2" w:char="0052"/>
      </w:r>
    </w:p>
    <w:p w14:paraId="442B4F08">
      <w:pPr>
        <w:spacing w:line="360" w:lineRule="auto"/>
      </w:pPr>
      <w:r>
        <w:br w:type="page"/>
      </w:r>
    </w:p>
    <w:p w14:paraId="509574E8">
      <w:pPr>
        <w:spacing w:line="360" w:lineRule="auto"/>
        <w:jc w:val="center"/>
        <w:outlineLvl w:val="2"/>
        <w:rPr>
          <w:rFonts w:ascii="黑体" w:hAnsi="黑体" w:eastAsia="黑体" w:cs="黑体"/>
          <w:sz w:val="28"/>
          <w:szCs w:val="28"/>
        </w:rPr>
      </w:pPr>
      <w:r>
        <w:rPr>
          <w:rFonts w:hint="eastAsia" w:ascii="黑体" w:hAnsi="黑体" w:eastAsia="黑体" w:cs="黑体"/>
          <w:sz w:val="28"/>
          <w:szCs w:val="28"/>
        </w:rPr>
        <w:t>其它商务资料</w:t>
      </w:r>
    </w:p>
    <w:p w14:paraId="210F3591">
      <w:pPr>
        <w:spacing w:line="360" w:lineRule="auto"/>
        <w:ind w:firstLine="420" w:firstLineChars="200"/>
        <w:jc w:val="center"/>
        <w:rPr>
          <w:szCs w:val="21"/>
        </w:rPr>
      </w:pPr>
      <w:r>
        <w:rPr>
          <w:rFonts w:hint="eastAsia"/>
          <w:szCs w:val="21"/>
        </w:rPr>
        <w:t>（由供应商按第五章“采购需求”中相应要求自行编写）</w:t>
      </w:r>
    </w:p>
    <w:p w14:paraId="7A7DB2CF">
      <w:pPr>
        <w:spacing w:line="360" w:lineRule="auto"/>
        <w:ind w:firstLine="420" w:firstLineChars="200"/>
        <w:rPr>
          <w:szCs w:val="21"/>
        </w:rPr>
      </w:pPr>
      <w:r>
        <w:rPr>
          <w:rFonts w:hint="eastAsia"/>
          <w:szCs w:val="21"/>
        </w:rPr>
        <w:t>一、团队人员</w:t>
      </w:r>
      <w:r>
        <w:rPr>
          <w:szCs w:val="21"/>
        </w:rPr>
        <w:t>；</w:t>
      </w:r>
    </w:p>
    <w:p w14:paraId="06BE9064">
      <w:pPr>
        <w:spacing w:line="360" w:lineRule="auto"/>
        <w:ind w:firstLine="420" w:firstLineChars="200"/>
        <w:rPr>
          <w:szCs w:val="21"/>
        </w:rPr>
      </w:pPr>
      <w:r>
        <w:rPr>
          <w:rFonts w:hint="eastAsia"/>
          <w:szCs w:val="21"/>
        </w:rPr>
        <w:t>二、售后服务方案；</w:t>
      </w:r>
    </w:p>
    <w:p w14:paraId="713F915C">
      <w:pPr>
        <w:spacing w:line="360" w:lineRule="auto"/>
        <w:ind w:firstLine="420" w:firstLineChars="200"/>
        <w:rPr>
          <w:szCs w:val="21"/>
        </w:rPr>
      </w:pPr>
      <w:r>
        <w:rPr>
          <w:rFonts w:hint="eastAsia"/>
          <w:szCs w:val="21"/>
        </w:rPr>
        <w:t>三、单一来源采购文件要求及供应商认为有必要提供的其它商务资料</w:t>
      </w:r>
      <w:r>
        <w:rPr>
          <w:szCs w:val="21"/>
        </w:rPr>
        <w:t>。</w:t>
      </w:r>
    </w:p>
    <w:p w14:paraId="182E6DD3">
      <w:pPr>
        <w:rPr>
          <w:sz w:val="28"/>
          <w:szCs w:val="28"/>
        </w:rPr>
      </w:pPr>
      <w:r>
        <w:rPr>
          <w:sz w:val="28"/>
          <w:szCs w:val="28"/>
        </w:rPr>
        <w:br w:type="page"/>
      </w:r>
    </w:p>
    <w:p w14:paraId="1BEC9BAE">
      <w:pPr>
        <w:spacing w:line="360" w:lineRule="auto"/>
      </w:pPr>
      <w:bookmarkStart w:id="456" w:name="OLE_LINK381"/>
    </w:p>
    <w:p w14:paraId="467C4FFE">
      <w:pPr>
        <w:spacing w:line="360" w:lineRule="auto"/>
        <w:jc w:val="center"/>
        <w:outlineLvl w:val="2"/>
        <w:rPr>
          <w:rFonts w:eastAsia="黑体"/>
          <w:sz w:val="28"/>
          <w:szCs w:val="28"/>
        </w:rPr>
      </w:pPr>
      <w:r>
        <w:rPr>
          <w:rFonts w:eastAsia="黑体"/>
          <w:sz w:val="28"/>
          <w:szCs w:val="28"/>
        </w:rPr>
        <w:t>中</w:t>
      </w:r>
      <w:bookmarkStart w:id="457" w:name="OLE_LINK384"/>
      <w:r>
        <w:rPr>
          <w:rFonts w:eastAsia="黑体"/>
          <w:sz w:val="28"/>
          <w:szCs w:val="28"/>
        </w:rPr>
        <w:t>小企业声明函</w:t>
      </w:r>
      <w:r>
        <w:rPr>
          <w:rFonts w:hint="eastAsia" w:eastAsia="黑体"/>
          <w:sz w:val="28"/>
          <w:szCs w:val="28"/>
        </w:rPr>
        <w:t>（服务）</w:t>
      </w:r>
    </w:p>
    <w:bookmarkEnd w:id="457"/>
    <w:p w14:paraId="7D0C265F">
      <w:pPr>
        <w:spacing w:line="360" w:lineRule="auto"/>
        <w:ind w:right="415" w:firstLine="412"/>
        <w:jc w:val="center"/>
        <w:rPr>
          <w:spacing w:val="-2"/>
          <w:szCs w:val="21"/>
        </w:rPr>
      </w:pPr>
      <w:r>
        <w:rPr>
          <w:rFonts w:hint="eastAsia"/>
          <w:spacing w:val="-2"/>
          <w:szCs w:val="21"/>
        </w:rPr>
        <w:t>（供应商参与本项目不符合或不享受财库〔2020〕46号规定的中小企业扶持政策的，</w:t>
      </w:r>
      <w:r>
        <w:rPr>
          <w:szCs w:val="21"/>
        </w:rPr>
        <w:t>无需</w:t>
      </w:r>
      <w:r>
        <w:rPr>
          <w:rFonts w:hint="eastAsia"/>
          <w:szCs w:val="21"/>
        </w:rPr>
        <w:t>填写及提供</w:t>
      </w:r>
      <w:r>
        <w:rPr>
          <w:rFonts w:hint="eastAsia"/>
          <w:spacing w:val="-2"/>
          <w:szCs w:val="21"/>
        </w:rPr>
        <w:t>）</w:t>
      </w:r>
    </w:p>
    <w:p w14:paraId="0540B5F9">
      <w:pPr>
        <w:widowControl/>
        <w:spacing w:line="560" w:lineRule="exact"/>
        <w:ind w:firstLine="420" w:firstLineChars="200"/>
        <w:jc w:val="left"/>
        <w:rPr>
          <w:rFonts w:hAnsi="宋体" w:cs="宋体"/>
          <w:szCs w:val="21"/>
        </w:rPr>
      </w:pPr>
      <w:r>
        <w:rPr>
          <w:rFonts w:hint="eastAsia" w:hAnsi="宋体" w:cs="宋体"/>
          <w:kern w:val="0"/>
          <w:szCs w:val="21"/>
        </w:rPr>
        <w:t>本公司（联合体）郑重声明，根据《政府采购促进中小企业发展管理办法》（财库﹝2020﹞46 号）的规定，本公司（联合体）参加</w:t>
      </w:r>
      <w:r>
        <w:rPr>
          <w:rFonts w:hint="eastAsia" w:hAnsi="宋体" w:cs="宋体"/>
          <w:i/>
          <w:iCs/>
          <w:kern w:val="0"/>
          <w:szCs w:val="21"/>
          <w:u w:val="single"/>
          <w:shd w:val="clear" w:color="FFFFFF" w:fill="D9D9D9"/>
        </w:rPr>
        <w:t>（单位名称）</w:t>
      </w:r>
      <w:r>
        <w:rPr>
          <w:rFonts w:hint="eastAsia" w:hAnsi="宋体" w:cs="宋体"/>
          <w:kern w:val="0"/>
          <w:szCs w:val="21"/>
        </w:rPr>
        <w:t>的</w:t>
      </w:r>
      <w:r>
        <w:rPr>
          <w:rFonts w:hint="eastAsia" w:hAnsi="宋体" w:cs="宋体"/>
          <w:i/>
          <w:iCs/>
          <w:kern w:val="0"/>
          <w:szCs w:val="21"/>
          <w:u w:val="single"/>
          <w:shd w:val="clear" w:color="FFFFFF" w:fill="D9D9D9"/>
        </w:rPr>
        <w:t xml:space="preserve">（项目名称） </w:t>
      </w:r>
      <w:r>
        <w:rPr>
          <w:rFonts w:hint="eastAsia" w:hAnsi="宋体" w:cs="宋体"/>
          <w:kern w:val="0"/>
          <w:szCs w:val="21"/>
        </w:rPr>
        <w:t>采购活动，服务全部由符合政策要求的中小企业承接。相关企业（含联合体中的中小企业、签订分包意向协议的中小企业）的具体情况如下：</w:t>
      </w:r>
    </w:p>
    <w:p w14:paraId="52072644">
      <w:pPr>
        <w:widowControl/>
        <w:spacing w:line="560" w:lineRule="exact"/>
        <w:jc w:val="left"/>
        <w:rPr>
          <w:rFonts w:hAnsi="宋体" w:cs="宋体"/>
          <w:szCs w:val="21"/>
        </w:rPr>
      </w:pPr>
      <w:r>
        <w:rPr>
          <w:rFonts w:hint="eastAsia" w:hAnsi="宋体" w:cs="宋体"/>
          <w:kern w:val="0"/>
          <w:szCs w:val="21"/>
        </w:rPr>
        <w:t>1.</w:t>
      </w:r>
      <w:r>
        <w:rPr>
          <w:rFonts w:hint="eastAsia" w:hAnsi="宋体" w:cs="宋体"/>
          <w:i/>
          <w:iCs/>
          <w:kern w:val="0"/>
          <w:szCs w:val="21"/>
          <w:u w:val="single"/>
          <w:shd w:val="clear" w:color="FFFFFF" w:fill="D9D9D9"/>
        </w:rPr>
        <w:t>（标的名称）</w:t>
      </w:r>
      <w:r>
        <w:rPr>
          <w:rFonts w:hint="eastAsia" w:hAnsi="宋体" w:cs="宋体"/>
          <w:kern w:val="0"/>
          <w:szCs w:val="21"/>
        </w:rPr>
        <w:t>，属于</w:t>
      </w:r>
      <w:r>
        <w:rPr>
          <w:rFonts w:hint="eastAsia" w:hAnsi="宋体" w:cs="宋体"/>
          <w:i/>
          <w:iCs/>
          <w:kern w:val="0"/>
          <w:szCs w:val="21"/>
          <w:u w:val="single"/>
          <w:shd w:val="clear" w:color="FFFFFF" w:fill="D9D9D9"/>
        </w:rPr>
        <w:t>（采购文件中明确的所属行业）</w:t>
      </w:r>
      <w:r>
        <w:rPr>
          <w:rFonts w:hint="eastAsia" w:hAnsi="宋体" w:cs="宋体"/>
          <w:kern w:val="0"/>
          <w:szCs w:val="21"/>
        </w:rPr>
        <w:t>；承接企业为</w:t>
      </w:r>
      <w:r>
        <w:rPr>
          <w:rFonts w:hint="eastAsia" w:hAnsi="宋体" w:cs="宋体"/>
          <w:i/>
          <w:iCs/>
          <w:kern w:val="0"/>
          <w:szCs w:val="21"/>
          <w:u w:val="single"/>
          <w:shd w:val="clear" w:color="FFFFFF" w:fill="D9D9D9"/>
        </w:rPr>
        <w:t>（企业名称）</w:t>
      </w:r>
      <w:r>
        <w:rPr>
          <w:rFonts w:hint="eastAsia" w:hAnsi="宋体" w:cs="宋体"/>
          <w:kern w:val="0"/>
          <w:szCs w:val="21"/>
        </w:rPr>
        <w:t>，从业人员人，营业收入为万元，资产总额为万元，属于</w:t>
      </w:r>
      <w:r>
        <w:rPr>
          <w:rFonts w:hint="eastAsia" w:hAnsi="宋体" w:cs="宋体"/>
          <w:i/>
          <w:iCs/>
          <w:kern w:val="0"/>
          <w:szCs w:val="21"/>
          <w:u w:val="single"/>
          <w:shd w:val="clear" w:color="FFFFFF" w:fill="D9D9D9"/>
        </w:rPr>
        <w:t>（中型企业、小型企业、微型企业）</w:t>
      </w:r>
      <w:r>
        <w:rPr>
          <w:rFonts w:hint="eastAsia" w:hAnsi="宋体" w:cs="宋体"/>
          <w:kern w:val="0"/>
          <w:szCs w:val="21"/>
        </w:rPr>
        <w:t>；</w:t>
      </w:r>
    </w:p>
    <w:p w14:paraId="2D4E36F4">
      <w:pPr>
        <w:widowControl/>
        <w:spacing w:line="560" w:lineRule="exact"/>
        <w:jc w:val="left"/>
        <w:rPr>
          <w:rFonts w:hAnsi="宋体" w:cs="宋体"/>
          <w:szCs w:val="21"/>
        </w:rPr>
      </w:pPr>
      <w:r>
        <w:rPr>
          <w:rFonts w:hint="eastAsia" w:hAnsi="宋体" w:cs="宋体"/>
          <w:kern w:val="0"/>
          <w:szCs w:val="21"/>
        </w:rPr>
        <w:t>2</w:t>
      </w:r>
      <w:r>
        <w:rPr>
          <w:rFonts w:hint="eastAsia" w:hAnsi="宋体" w:cs="宋体"/>
          <w:kern w:val="0"/>
          <w:szCs w:val="21"/>
          <w:u w:val="single"/>
        </w:rPr>
        <w:t>.</w:t>
      </w:r>
      <w:r>
        <w:rPr>
          <w:rFonts w:hint="eastAsia" w:hAnsi="宋体" w:cs="宋体"/>
          <w:i/>
          <w:iCs/>
          <w:kern w:val="0"/>
          <w:szCs w:val="21"/>
          <w:u w:val="single"/>
          <w:shd w:val="clear" w:color="FFFFFF" w:fill="D9D9D9"/>
        </w:rPr>
        <w:t>（标的名称）</w:t>
      </w:r>
      <w:r>
        <w:rPr>
          <w:rFonts w:hint="eastAsia" w:hAnsi="宋体" w:cs="宋体"/>
          <w:kern w:val="0"/>
          <w:szCs w:val="21"/>
        </w:rPr>
        <w:t>，属于</w:t>
      </w:r>
      <w:r>
        <w:rPr>
          <w:rFonts w:hint="eastAsia" w:hAnsi="宋体" w:cs="宋体"/>
          <w:i/>
          <w:iCs/>
          <w:kern w:val="0"/>
          <w:szCs w:val="21"/>
          <w:u w:val="single"/>
          <w:shd w:val="clear" w:color="FFFFFF" w:fill="D9D9D9"/>
        </w:rPr>
        <w:t>（采购文件中明确的所属行业）</w:t>
      </w:r>
      <w:r>
        <w:rPr>
          <w:rFonts w:hint="eastAsia" w:hAnsi="宋体" w:cs="宋体"/>
          <w:kern w:val="0"/>
          <w:szCs w:val="21"/>
        </w:rPr>
        <w:t>；承接企业为</w:t>
      </w:r>
      <w:r>
        <w:rPr>
          <w:rFonts w:hint="eastAsia" w:hAnsi="宋体" w:cs="宋体"/>
          <w:i/>
          <w:iCs/>
          <w:kern w:val="0"/>
          <w:szCs w:val="21"/>
          <w:u w:val="single"/>
          <w:shd w:val="clear" w:color="FFFFFF" w:fill="D9D9D9"/>
        </w:rPr>
        <w:t>（企业名称）</w:t>
      </w:r>
      <w:r>
        <w:rPr>
          <w:rFonts w:hint="eastAsia" w:hAnsi="宋体" w:cs="宋体"/>
          <w:kern w:val="0"/>
          <w:szCs w:val="21"/>
        </w:rPr>
        <w:t>，从业人员人，营业收入为万元，资产总额为万元，属于</w:t>
      </w:r>
      <w:r>
        <w:rPr>
          <w:rFonts w:hint="eastAsia" w:hAnsi="宋体" w:cs="宋体"/>
          <w:i/>
          <w:iCs/>
          <w:kern w:val="0"/>
          <w:szCs w:val="21"/>
          <w:u w:val="single"/>
          <w:shd w:val="clear" w:color="FFFFFF" w:fill="D9D9D9"/>
        </w:rPr>
        <w:t>（中型企业、小型企业、微型企业）</w:t>
      </w:r>
      <w:r>
        <w:rPr>
          <w:rFonts w:hint="eastAsia" w:hAnsi="宋体" w:cs="宋体"/>
          <w:kern w:val="0"/>
          <w:szCs w:val="21"/>
        </w:rPr>
        <w:t>；</w:t>
      </w:r>
    </w:p>
    <w:p w14:paraId="09720AA2">
      <w:pPr>
        <w:widowControl/>
        <w:spacing w:line="560" w:lineRule="exact"/>
        <w:ind w:firstLine="420" w:firstLineChars="200"/>
        <w:jc w:val="left"/>
        <w:rPr>
          <w:rFonts w:hAnsi="宋体" w:cs="宋体"/>
          <w:szCs w:val="21"/>
        </w:rPr>
      </w:pPr>
      <w:r>
        <w:rPr>
          <w:rFonts w:hint="eastAsia" w:hAnsi="宋体" w:cs="宋体"/>
          <w:kern w:val="0"/>
          <w:szCs w:val="21"/>
        </w:rPr>
        <w:t>以上企业，不属于大企业的分支机构，不存在控股股东为大企业的情形，也不存在与大企业的负责人为同一人的情形。</w:t>
      </w:r>
    </w:p>
    <w:p w14:paraId="7361B874">
      <w:pPr>
        <w:autoSpaceDE w:val="0"/>
        <w:autoSpaceDN w:val="0"/>
        <w:adjustRightInd w:val="0"/>
        <w:spacing w:line="560" w:lineRule="exact"/>
        <w:ind w:firstLine="371" w:firstLineChars="177"/>
        <w:jc w:val="left"/>
        <w:rPr>
          <w:rFonts w:hAnsi="宋体" w:cs="宋体"/>
          <w:kern w:val="0"/>
          <w:szCs w:val="21"/>
        </w:rPr>
      </w:pPr>
      <w:r>
        <w:rPr>
          <w:rFonts w:hint="eastAsia" w:hAnsi="宋体" w:cs="宋体"/>
          <w:kern w:val="0"/>
          <w:szCs w:val="21"/>
        </w:rPr>
        <w:t>本企业对上述声明内容的真实性负责。如有虚假，将依法承担相应责任。</w:t>
      </w:r>
    </w:p>
    <w:p w14:paraId="289B3A80">
      <w:pPr>
        <w:spacing w:line="360" w:lineRule="auto"/>
        <w:ind w:firstLine="420"/>
        <w:rPr>
          <w:bCs/>
          <w:szCs w:val="21"/>
        </w:rPr>
      </w:pPr>
      <w:r>
        <w:rPr>
          <w:rFonts w:hint="eastAsia"/>
          <w:b/>
          <w:szCs w:val="21"/>
        </w:rPr>
        <w:t>企业名称</w:t>
      </w:r>
      <w:r>
        <w:rPr>
          <w:b/>
          <w:szCs w:val="21"/>
        </w:rPr>
        <w:t>（</w:t>
      </w:r>
      <w:r>
        <w:rPr>
          <w:rFonts w:hint="eastAsia"/>
          <w:b/>
          <w:szCs w:val="21"/>
        </w:rPr>
        <w:t>盖章</w:t>
      </w:r>
      <w:r>
        <w:rPr>
          <w:b/>
          <w:szCs w:val="21"/>
        </w:rPr>
        <w:t>）</w:t>
      </w:r>
      <w:r>
        <w:rPr>
          <w:bCs/>
          <w:szCs w:val="21"/>
        </w:rPr>
        <w:t>：</w:t>
      </w:r>
    </w:p>
    <w:p w14:paraId="14EE87BD">
      <w:pPr>
        <w:spacing w:line="360" w:lineRule="auto"/>
        <w:ind w:firstLine="420"/>
        <w:rPr>
          <w:bCs/>
          <w:szCs w:val="21"/>
          <w:u w:val="single"/>
        </w:rPr>
      </w:pPr>
      <w:r>
        <w:rPr>
          <w:bCs/>
          <w:szCs w:val="21"/>
        </w:rPr>
        <w:t>日期：</w:t>
      </w:r>
    </w:p>
    <w:p w14:paraId="00BBF3AC">
      <w:pPr>
        <w:spacing w:line="360" w:lineRule="auto"/>
        <w:ind w:firstLine="422"/>
        <w:rPr>
          <w:b/>
          <w:szCs w:val="21"/>
        </w:rPr>
      </w:pPr>
      <w:r>
        <w:rPr>
          <w:b/>
          <w:szCs w:val="21"/>
        </w:rPr>
        <w:t>注:</w:t>
      </w:r>
    </w:p>
    <w:p w14:paraId="51B7E5ED">
      <w:pPr>
        <w:spacing w:line="360" w:lineRule="auto"/>
        <w:ind w:firstLine="422"/>
        <w:rPr>
          <w:rFonts w:ascii="宋体" w:hAnsi="宋体" w:cs="宋体"/>
          <w:b/>
          <w:szCs w:val="21"/>
        </w:rPr>
      </w:pPr>
      <w:r>
        <w:rPr>
          <w:rFonts w:hint="eastAsia" w:ascii="宋体" w:hAnsi="宋体" w:cs="宋体"/>
          <w:b/>
          <w:szCs w:val="21"/>
        </w:rPr>
        <w:t>①</w:t>
      </w:r>
      <w:r>
        <w:rPr>
          <w:rFonts w:hint="eastAsia"/>
          <w:b/>
          <w:szCs w:val="21"/>
        </w:rPr>
        <w:t>从业人员、营业收入、资产总</w:t>
      </w:r>
      <w:bookmarkStart w:id="458" w:name="OLE_LINK383"/>
      <w:r>
        <w:rPr>
          <w:rFonts w:hint="eastAsia"/>
          <w:b/>
          <w:szCs w:val="21"/>
        </w:rPr>
        <w:t>额填报上一年度数据</w:t>
      </w:r>
      <w:bookmarkEnd w:id="458"/>
      <w:r>
        <w:rPr>
          <w:rFonts w:hint="eastAsia"/>
          <w:b/>
          <w:szCs w:val="21"/>
        </w:rPr>
        <w:t>，无上一年度数据的新成立企业可不填报；</w:t>
      </w:r>
    </w:p>
    <w:p w14:paraId="2F3F473E">
      <w:pPr>
        <w:spacing w:line="360" w:lineRule="auto"/>
        <w:ind w:firstLine="422"/>
        <w:rPr>
          <w:b/>
          <w:szCs w:val="21"/>
        </w:rPr>
      </w:pPr>
      <w:bookmarkStart w:id="459" w:name="OLE_LINK380"/>
      <w:r>
        <w:rPr>
          <w:rFonts w:hint="eastAsia"/>
          <w:b/>
          <w:szCs w:val="21"/>
        </w:rPr>
        <w:t>②“</w:t>
      </w:r>
      <w:r>
        <w:rPr>
          <w:b/>
          <w:szCs w:val="21"/>
        </w:rPr>
        <w:t>标的名称</w:t>
      </w:r>
      <w:r>
        <w:rPr>
          <w:rFonts w:hint="eastAsia"/>
          <w:b/>
          <w:szCs w:val="21"/>
        </w:rPr>
        <w:t>”</w:t>
      </w:r>
      <w:bookmarkEnd w:id="459"/>
      <w:r>
        <w:rPr>
          <w:b/>
          <w:szCs w:val="21"/>
        </w:rPr>
        <w:t>、</w:t>
      </w:r>
      <w:r>
        <w:rPr>
          <w:rFonts w:hint="eastAsia"/>
          <w:b/>
          <w:szCs w:val="21"/>
        </w:rPr>
        <w:t>“</w:t>
      </w:r>
      <w:r>
        <w:rPr>
          <w:b/>
          <w:szCs w:val="21"/>
        </w:rPr>
        <w:t>采购文件中明确的所属行业</w:t>
      </w:r>
      <w:r>
        <w:rPr>
          <w:rFonts w:hint="eastAsia"/>
          <w:b/>
          <w:szCs w:val="21"/>
        </w:rPr>
        <w:t>”</w:t>
      </w:r>
      <w:r>
        <w:rPr>
          <w:b/>
          <w:szCs w:val="21"/>
        </w:rPr>
        <w:t>依据</w:t>
      </w:r>
      <w:r>
        <w:rPr>
          <w:rFonts w:hint="eastAsia"/>
          <w:b/>
          <w:szCs w:val="21"/>
        </w:rPr>
        <w:t>单一来源采购文件</w:t>
      </w:r>
      <w:r>
        <w:rPr>
          <w:b/>
          <w:szCs w:val="21"/>
        </w:rPr>
        <w:t>第</w:t>
      </w:r>
      <w:r>
        <w:rPr>
          <w:rFonts w:hint="eastAsia"/>
          <w:b/>
          <w:szCs w:val="21"/>
        </w:rPr>
        <w:t xml:space="preserve">五章采购需求中明确的“标的名称及所属行业”逐一填写，不得缺漏； </w:t>
      </w:r>
    </w:p>
    <w:p w14:paraId="6DE8005A">
      <w:pPr>
        <w:spacing w:line="360" w:lineRule="auto"/>
        <w:ind w:firstLine="422"/>
        <w:rPr>
          <w:b/>
          <w:szCs w:val="21"/>
        </w:rPr>
      </w:pPr>
      <w:r>
        <w:rPr>
          <w:rFonts w:hint="eastAsia"/>
          <w:b/>
          <w:szCs w:val="21"/>
        </w:rPr>
        <w:t>③联合体参与的，《中小企业声明函》可由牵头人出具。</w:t>
      </w:r>
    </w:p>
    <w:p w14:paraId="28728BFF">
      <w:pPr>
        <w:widowControl/>
        <w:spacing w:line="360" w:lineRule="auto"/>
        <w:ind w:firstLine="422"/>
        <w:jc w:val="left"/>
        <w:rPr>
          <w:b/>
          <w:szCs w:val="21"/>
        </w:rPr>
      </w:pPr>
      <w:r>
        <w:rPr>
          <w:rFonts w:hint="eastAsia"/>
          <w:b/>
          <w:szCs w:val="21"/>
        </w:rPr>
        <w:t>④温馨提示：供应商应充分、准确地了解所提供货物的制造企业信息。对相关情况了解不清楚的，不建议填报本声明函。</w:t>
      </w:r>
    </w:p>
    <w:p w14:paraId="3E09F417">
      <w:pPr>
        <w:spacing w:line="360" w:lineRule="auto"/>
        <w:rPr>
          <w:rFonts w:eastAsia="黑体"/>
          <w:bCs/>
          <w:sz w:val="28"/>
          <w:szCs w:val="28"/>
        </w:rPr>
      </w:pPr>
    </w:p>
    <w:p w14:paraId="2C9CCADA">
      <w:pPr>
        <w:spacing w:line="360" w:lineRule="auto"/>
        <w:ind w:firstLine="420" w:firstLineChars="200"/>
        <w:sectPr>
          <w:headerReference r:id="rId17" w:type="first"/>
          <w:footerReference r:id="rId19" w:type="first"/>
          <w:footerReference r:id="rId18" w:type="default"/>
          <w:pgSz w:w="11906" w:h="16838"/>
          <w:pgMar w:top="1440" w:right="1440" w:bottom="1440" w:left="1440" w:header="510" w:footer="680" w:gutter="0"/>
          <w:cols w:space="0" w:num="1"/>
          <w:titlePg/>
          <w:docGrid w:type="linesAndChars" w:linePitch="312" w:charSpace="0"/>
        </w:sectPr>
      </w:pPr>
    </w:p>
    <w:bookmarkEnd w:id="456"/>
    <w:p w14:paraId="49A49D39">
      <w:pPr>
        <w:pStyle w:val="18"/>
        <w:tabs>
          <w:tab w:val="left" w:pos="1275"/>
          <w:tab w:val="left" w:pos="1440"/>
          <w:tab w:val="left" w:pos="1620"/>
        </w:tabs>
        <w:spacing w:line="360" w:lineRule="auto"/>
        <w:rPr>
          <w:rFonts w:hAnsi="宋体"/>
          <w:b/>
          <w:sz w:val="21"/>
          <w:szCs w:val="21"/>
        </w:rPr>
      </w:pPr>
      <w:bookmarkStart w:id="460" w:name="_Toc14586"/>
      <w:r>
        <w:rPr>
          <w:rFonts w:hint="eastAsia" w:hAnsi="宋体"/>
          <w:b/>
          <w:sz w:val="21"/>
          <w:szCs w:val="21"/>
        </w:rPr>
        <w:t>附件：</w:t>
      </w:r>
    </w:p>
    <w:p w14:paraId="232DAFEE">
      <w:pPr>
        <w:pStyle w:val="18"/>
        <w:tabs>
          <w:tab w:val="left" w:pos="1275"/>
          <w:tab w:val="left" w:pos="1440"/>
          <w:tab w:val="left" w:pos="1620"/>
        </w:tabs>
        <w:spacing w:line="360" w:lineRule="auto"/>
        <w:jc w:val="center"/>
        <w:rPr>
          <w:rFonts w:hAnsi="宋体"/>
          <w:bCs/>
          <w:sz w:val="21"/>
          <w:szCs w:val="21"/>
        </w:rPr>
      </w:pPr>
      <w:r>
        <w:rPr>
          <w:rFonts w:hAnsi="宋体" w:cs="宋体"/>
          <w:b/>
          <w:sz w:val="28"/>
          <w:szCs w:val="28"/>
        </w:rPr>
        <w:t>中小企业划型标准</w:t>
      </w:r>
    </w:p>
    <w:p w14:paraId="05EDB032">
      <w:pPr>
        <w:pStyle w:val="18"/>
        <w:tabs>
          <w:tab w:val="left" w:pos="1275"/>
          <w:tab w:val="left" w:pos="1440"/>
          <w:tab w:val="left" w:pos="1620"/>
        </w:tabs>
        <w:spacing w:line="360" w:lineRule="auto"/>
        <w:ind w:firstLine="420" w:firstLineChars="200"/>
        <w:rPr>
          <w:rFonts w:hAnsi="宋体"/>
          <w:bCs/>
          <w:sz w:val="21"/>
          <w:szCs w:val="21"/>
        </w:rPr>
      </w:pPr>
      <w:r>
        <w:rPr>
          <w:rFonts w:hint="eastAsia" w:hAnsi="宋体"/>
          <w:bCs/>
          <w:sz w:val="21"/>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8"/>
        <w:tblW w:w="4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8"/>
        <w:gridCol w:w="2758"/>
      </w:tblGrid>
      <w:tr w14:paraId="2CB8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419" w:type="pct"/>
            <w:shd w:val="clear" w:color="auto" w:fill="A5A5A5"/>
            <w:vAlign w:val="center"/>
          </w:tcPr>
          <w:p w14:paraId="1F9BBB89">
            <w:pPr>
              <w:spacing w:line="360" w:lineRule="auto"/>
              <w:jc w:val="center"/>
              <w:textAlignment w:val="center"/>
              <w:rPr>
                <w:rFonts w:ascii="宋体" w:hAnsi="宋体" w:cs="宋体"/>
                <w:b/>
                <w:szCs w:val="21"/>
              </w:rPr>
            </w:pPr>
            <w:r>
              <w:rPr>
                <w:rFonts w:hint="eastAsia" w:ascii="宋体" w:hAnsi="宋体" w:cs="宋体"/>
                <w:b/>
                <w:szCs w:val="21"/>
              </w:rPr>
              <w:t>标的名称</w:t>
            </w:r>
          </w:p>
        </w:tc>
        <w:tc>
          <w:tcPr>
            <w:tcW w:w="1580" w:type="pct"/>
            <w:shd w:val="clear" w:color="auto" w:fill="A5A5A5"/>
            <w:vAlign w:val="center"/>
          </w:tcPr>
          <w:p w14:paraId="291E31F8">
            <w:pPr>
              <w:spacing w:line="360" w:lineRule="auto"/>
              <w:jc w:val="center"/>
              <w:textAlignment w:val="center"/>
              <w:rPr>
                <w:rFonts w:ascii="宋体" w:hAnsi="宋体" w:cs="宋体"/>
                <w:b/>
                <w:szCs w:val="21"/>
              </w:rPr>
            </w:pPr>
            <w:r>
              <w:rPr>
                <w:rFonts w:hint="eastAsia" w:ascii="宋体" w:hAnsi="宋体" w:cs="宋体"/>
                <w:b/>
                <w:szCs w:val="21"/>
              </w:rPr>
              <w:t>所属行业</w:t>
            </w:r>
          </w:p>
        </w:tc>
      </w:tr>
      <w:tr w14:paraId="4E62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9" w:type="pct"/>
            <w:vAlign w:val="center"/>
          </w:tcPr>
          <w:p w14:paraId="0D4820A0">
            <w:pPr>
              <w:spacing w:line="360" w:lineRule="auto"/>
              <w:jc w:val="center"/>
              <w:rPr>
                <w:rFonts w:ascii="宋体" w:hAnsi="宋体" w:cs="宋体"/>
                <w:szCs w:val="21"/>
              </w:rPr>
            </w:pPr>
            <w:r>
              <w:rPr>
                <w:rFonts w:hint="eastAsia" w:ascii="宋体" w:hAnsi="宋体" w:cs="宋体"/>
                <w:szCs w:val="21"/>
              </w:rPr>
              <w:t>基于智慧树教学平台的机械类智慧课程教学资源库建设服务</w:t>
            </w:r>
          </w:p>
        </w:tc>
        <w:tc>
          <w:tcPr>
            <w:tcW w:w="1580" w:type="pct"/>
            <w:vAlign w:val="center"/>
          </w:tcPr>
          <w:p w14:paraId="78929F1C">
            <w:pPr>
              <w:spacing w:line="360" w:lineRule="auto"/>
              <w:jc w:val="center"/>
              <w:textAlignment w:val="center"/>
              <w:rPr>
                <w:rFonts w:ascii="宋体" w:hAnsi="宋体" w:cs="宋体"/>
                <w:szCs w:val="21"/>
              </w:rPr>
            </w:pPr>
            <w:r>
              <w:rPr>
                <w:rFonts w:hint="eastAsia" w:ascii="宋体" w:hAnsi="宋体" w:cs="宋体"/>
                <w:szCs w:val="21"/>
              </w:rPr>
              <w:t>软件和信息技术服务业</w:t>
            </w:r>
          </w:p>
        </w:tc>
      </w:tr>
    </w:tbl>
    <w:p w14:paraId="23681CAB">
      <w:pPr>
        <w:autoSpaceDE w:val="0"/>
        <w:autoSpaceDN w:val="0"/>
        <w:adjustRightInd w:val="0"/>
        <w:spacing w:line="440" w:lineRule="exact"/>
        <w:ind w:firstLine="420" w:firstLineChars="200"/>
        <w:jc w:val="left"/>
        <w:rPr>
          <w:rFonts w:ascii="宋体" w:hAnsi="宋体" w:cs="宋体"/>
          <w:b/>
          <w:bCs/>
          <w:szCs w:val="21"/>
        </w:rPr>
      </w:pPr>
      <w:r>
        <w:rPr>
          <w:rFonts w:hint="eastAsia" w:ascii="宋体" w:hAnsi="宋体" w:cs="宋体"/>
          <w:szCs w:val="21"/>
        </w:rPr>
        <w:t>按照《工业和信息化部、国家统计局、国家发展和改革委员会、财政部关于印发中小企业划型标准规定的通知》（工信部联企业[2011]300号）的规定。</w:t>
      </w:r>
    </w:p>
    <w:p w14:paraId="55D9C499">
      <w:pPr>
        <w:autoSpaceDE w:val="0"/>
        <w:autoSpaceDN w:val="0"/>
        <w:adjustRightInd w:val="0"/>
        <w:spacing w:line="440" w:lineRule="exact"/>
        <w:ind w:firstLine="420" w:firstLineChars="200"/>
        <w:jc w:val="left"/>
        <w:rPr>
          <w:rFonts w:ascii="宋体" w:hAnsi="宋体"/>
          <w:b/>
          <w:kern w:val="0"/>
          <w:szCs w:val="21"/>
        </w:rPr>
      </w:pPr>
      <w:r>
        <w:rPr>
          <w:rFonts w:hint="eastAsia" w:ascii="宋体" w:hAnsi="宋体" w:cs="宋体"/>
          <w:b/>
          <w:bCs/>
          <w:szCs w:val="21"/>
        </w:rPr>
        <w:t>软件和信息技术服务业</w:t>
      </w:r>
      <w:r>
        <w:rPr>
          <w:rFonts w:hint="eastAsia" w:ascii="宋体" w:hAnsi="宋体"/>
          <w:b/>
          <w:kern w:val="0"/>
          <w:szCs w:val="21"/>
        </w:rPr>
        <w:t>：</w:t>
      </w:r>
      <w:r>
        <w:rPr>
          <w:rFonts w:hint="eastAsia" w:ascii="宋体" w:hAnsi="宋体"/>
          <w:bCs/>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bCs/>
          <w:kern w:val="0"/>
          <w:szCs w:val="21"/>
        </w:rPr>
        <w:t>。</w:t>
      </w:r>
    </w:p>
    <w:p w14:paraId="3AD90629">
      <w:pPr>
        <w:jc w:val="left"/>
        <w:rPr>
          <w:rFonts w:eastAsia="黑体"/>
          <w:sz w:val="28"/>
          <w:szCs w:val="28"/>
        </w:rPr>
      </w:pPr>
    </w:p>
    <w:p w14:paraId="5703D24C">
      <w:pPr>
        <w:jc w:val="left"/>
        <w:rPr>
          <w:rFonts w:eastAsia="黑体"/>
          <w:sz w:val="28"/>
          <w:szCs w:val="28"/>
        </w:rPr>
      </w:pPr>
      <w:r>
        <w:rPr>
          <w:rFonts w:eastAsia="黑体"/>
          <w:sz w:val="28"/>
          <w:szCs w:val="28"/>
        </w:rPr>
        <w:br w:type="page"/>
      </w:r>
    </w:p>
    <w:p w14:paraId="364CA085">
      <w:pPr>
        <w:spacing w:line="360" w:lineRule="auto"/>
        <w:jc w:val="center"/>
        <w:outlineLvl w:val="2"/>
        <w:rPr>
          <w:rFonts w:eastAsia="黑体"/>
          <w:sz w:val="28"/>
          <w:szCs w:val="28"/>
        </w:rPr>
      </w:pPr>
      <w:r>
        <w:rPr>
          <w:rFonts w:eastAsia="黑体"/>
          <w:sz w:val="28"/>
          <w:szCs w:val="28"/>
        </w:rPr>
        <w:t>监狱企业证明文件</w:t>
      </w:r>
    </w:p>
    <w:p w14:paraId="38AE05B8">
      <w:pPr>
        <w:spacing w:line="360" w:lineRule="auto"/>
        <w:jc w:val="center"/>
        <w:rPr>
          <w:szCs w:val="21"/>
        </w:rPr>
      </w:pPr>
      <w:r>
        <w:t>（不属于监狱企业的无需提供）</w:t>
      </w:r>
    </w:p>
    <w:p w14:paraId="3A9B2625">
      <w:pPr>
        <w:spacing w:line="360" w:lineRule="auto"/>
        <w:ind w:firstLine="420"/>
        <w:jc w:val="left"/>
        <w:rPr>
          <w:szCs w:val="21"/>
        </w:rPr>
      </w:pPr>
      <w:r>
        <w:rPr>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3FDA6">
      <w:pPr>
        <w:spacing w:line="360" w:lineRule="auto"/>
        <w:ind w:firstLine="420"/>
        <w:rPr>
          <w:sz w:val="24"/>
        </w:rPr>
      </w:pPr>
      <w:r>
        <w:rPr>
          <w:szCs w:val="21"/>
        </w:rPr>
        <w:t>监狱企业参加政府采购活动时，应当提供由省级以上监狱管理局、戒毒管理局（含新疆生产建设兵团）出具的属于监狱企业的证明文件。</w:t>
      </w:r>
    </w:p>
    <w:p w14:paraId="400F6F23">
      <w:pPr>
        <w:tabs>
          <w:tab w:val="left" w:pos="4860"/>
        </w:tabs>
        <w:spacing w:line="360" w:lineRule="auto"/>
        <w:ind w:right="1560" w:firstLine="420"/>
        <w:jc w:val="left"/>
        <w:rPr>
          <w:szCs w:val="20"/>
        </w:rPr>
      </w:pPr>
    </w:p>
    <w:p w14:paraId="5C2F6E71">
      <w:pPr>
        <w:spacing w:line="360" w:lineRule="auto"/>
        <w:rPr>
          <w:sz w:val="24"/>
        </w:rPr>
      </w:pPr>
    </w:p>
    <w:p w14:paraId="311BAF3C">
      <w:pPr>
        <w:spacing w:line="360" w:lineRule="auto"/>
        <w:ind w:firstLine="420"/>
        <w:rPr>
          <w:szCs w:val="21"/>
          <w:u w:val="single"/>
        </w:rPr>
      </w:pPr>
    </w:p>
    <w:p w14:paraId="6AE1FAFC">
      <w:pPr>
        <w:pStyle w:val="12"/>
        <w:spacing w:before="156"/>
      </w:pPr>
      <w:r>
        <w:t>注：符合条件的监狱企业在参加政府采购活动时，应当按《财政部 司法部关于政府采购支持监狱企业发展有关问题的通知》（财库[2014]68号）提供规定的《监狱企业证明文件》，并对提供的证明文件真实性负责。</w:t>
      </w:r>
    </w:p>
    <w:p w14:paraId="6137E54D">
      <w:pPr>
        <w:spacing w:line="360" w:lineRule="auto"/>
        <w:rPr>
          <w:rFonts w:hAnsi="宋体"/>
          <w:b/>
          <w:sz w:val="28"/>
          <w:szCs w:val="28"/>
        </w:rPr>
        <w:sectPr>
          <w:pgSz w:w="11906" w:h="16838"/>
          <w:pgMar w:top="1440" w:right="1440" w:bottom="1440" w:left="1440" w:header="510" w:footer="680" w:gutter="0"/>
          <w:cols w:space="0" w:num="1"/>
          <w:titlePg/>
          <w:docGrid w:type="linesAndChars" w:linePitch="312" w:charSpace="0"/>
        </w:sectPr>
      </w:pPr>
    </w:p>
    <w:p w14:paraId="5B0B2BAA">
      <w:pPr>
        <w:spacing w:line="360" w:lineRule="auto"/>
        <w:jc w:val="center"/>
        <w:outlineLvl w:val="2"/>
        <w:rPr>
          <w:rFonts w:eastAsia="黑体"/>
          <w:sz w:val="28"/>
          <w:szCs w:val="28"/>
        </w:rPr>
      </w:pPr>
      <w:r>
        <w:rPr>
          <w:rFonts w:eastAsia="黑体"/>
          <w:sz w:val="28"/>
          <w:szCs w:val="28"/>
        </w:rPr>
        <w:t>残疾人福利性单位声明函</w:t>
      </w:r>
    </w:p>
    <w:p w14:paraId="799F08F8">
      <w:pPr>
        <w:spacing w:line="360" w:lineRule="auto"/>
        <w:jc w:val="center"/>
        <w:rPr>
          <w:rFonts w:eastAsia="仿宋_GB2312"/>
          <w:b/>
          <w:spacing w:val="6"/>
          <w:szCs w:val="21"/>
        </w:rPr>
      </w:pPr>
      <w:r>
        <w:rPr>
          <w:szCs w:val="21"/>
        </w:rPr>
        <w:t>（不属于残疾人福利性单位的无需</w:t>
      </w:r>
      <w:r>
        <w:rPr>
          <w:rFonts w:hint="eastAsia"/>
          <w:szCs w:val="21"/>
        </w:rPr>
        <w:t>填写及提供</w:t>
      </w:r>
      <w:r>
        <w:rPr>
          <w:szCs w:val="21"/>
        </w:rPr>
        <w:t>）</w:t>
      </w:r>
    </w:p>
    <w:p w14:paraId="0E3750BF">
      <w:pPr>
        <w:spacing w:line="360" w:lineRule="auto"/>
        <w:ind w:firstLine="444"/>
        <w:rPr>
          <w:spacing w:val="6"/>
          <w:szCs w:val="21"/>
        </w:rPr>
      </w:pPr>
      <w:r>
        <w:rPr>
          <w:spacing w:val="6"/>
          <w:szCs w:val="21"/>
        </w:rPr>
        <w:t>本单位郑重声明，根据《财政部 民政部 中国残疾人联合会关于促进残疾人就业政府采购政策的通知》（财库</w:t>
      </w:r>
      <w:r>
        <w:rPr>
          <w:szCs w:val="21"/>
        </w:rPr>
        <w:t>〔2017〕 141</w:t>
      </w:r>
      <w:r>
        <w:rPr>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45E9BE03">
      <w:pPr>
        <w:spacing w:line="360" w:lineRule="auto"/>
        <w:ind w:firstLine="444"/>
        <w:rPr>
          <w:spacing w:val="6"/>
          <w:szCs w:val="21"/>
        </w:rPr>
      </w:pPr>
      <w:r>
        <w:rPr>
          <w:spacing w:val="6"/>
          <w:szCs w:val="21"/>
        </w:rPr>
        <w:t>本单位对上述声明的真实性负责。如有虚假，将依法承担相应责任。</w:t>
      </w:r>
    </w:p>
    <w:p w14:paraId="27CCD75B">
      <w:pPr>
        <w:spacing w:line="360" w:lineRule="auto"/>
        <w:ind w:firstLine="444"/>
        <w:rPr>
          <w:spacing w:val="6"/>
          <w:szCs w:val="21"/>
        </w:rPr>
      </w:pPr>
    </w:p>
    <w:p w14:paraId="7E4A33C6">
      <w:pPr>
        <w:tabs>
          <w:tab w:val="left" w:pos="4860"/>
        </w:tabs>
        <w:spacing w:line="360" w:lineRule="auto"/>
        <w:ind w:right="1560" w:firstLine="420"/>
        <w:jc w:val="left"/>
        <w:rPr>
          <w:szCs w:val="20"/>
        </w:rPr>
      </w:pPr>
      <w:r>
        <w:rPr>
          <w:rFonts w:hint="eastAsia"/>
          <w:b/>
          <w:bCs/>
          <w:szCs w:val="20"/>
        </w:rPr>
        <w:t>单位名称</w:t>
      </w:r>
      <w:r>
        <w:rPr>
          <w:b/>
          <w:szCs w:val="21"/>
        </w:rPr>
        <w:t>（</w:t>
      </w:r>
      <w:r>
        <w:rPr>
          <w:rFonts w:hint="eastAsia"/>
          <w:b/>
          <w:szCs w:val="21"/>
        </w:rPr>
        <w:t>盖章</w:t>
      </w:r>
      <w:r>
        <w:rPr>
          <w:b/>
          <w:szCs w:val="21"/>
        </w:rPr>
        <w:t>）</w:t>
      </w:r>
      <w:r>
        <w:rPr>
          <w:szCs w:val="20"/>
        </w:rPr>
        <w:t>：</w:t>
      </w:r>
    </w:p>
    <w:p w14:paraId="563D6BF1">
      <w:pPr>
        <w:tabs>
          <w:tab w:val="left" w:pos="4860"/>
        </w:tabs>
        <w:spacing w:line="360" w:lineRule="auto"/>
        <w:ind w:right="1560" w:firstLine="420"/>
        <w:jc w:val="left"/>
        <w:rPr>
          <w:szCs w:val="21"/>
          <w:u w:val="single"/>
        </w:rPr>
      </w:pPr>
      <w:r>
        <w:rPr>
          <w:szCs w:val="20"/>
        </w:rPr>
        <w:t>日期：</w:t>
      </w:r>
    </w:p>
    <w:p w14:paraId="6F194754">
      <w:pPr>
        <w:tabs>
          <w:tab w:val="left" w:pos="4860"/>
        </w:tabs>
        <w:spacing w:line="360" w:lineRule="auto"/>
        <w:ind w:right="1560" w:firstLine="444"/>
        <w:jc w:val="left"/>
        <w:rPr>
          <w:spacing w:val="6"/>
          <w:szCs w:val="21"/>
        </w:rPr>
      </w:pPr>
    </w:p>
    <w:p w14:paraId="582E77D0">
      <w:pPr>
        <w:pStyle w:val="12"/>
        <w:spacing w:before="156"/>
      </w:pPr>
      <w:r>
        <w:t>注：符合条件的残疾人福利性单位在参加政府采购活动时，应当按《三部门联合发布关于促进残疾人就业政府采购政策的通知》（财库〔2017〕141号）提供规定的《残疾人福利性单位声明函》，并对声明的真实性负责。采购代理机构在随</w:t>
      </w:r>
      <w:r>
        <w:rPr>
          <w:rFonts w:hint="eastAsia"/>
        </w:rPr>
        <w:t>成交</w:t>
      </w:r>
      <w:r>
        <w:t>结果同时公告其《残疾人福利性单位声明函》，接受社会监督。</w:t>
      </w:r>
      <w:r>
        <w:rPr>
          <w:rFonts w:hint="eastAsia"/>
        </w:rPr>
        <w:t>供应商</w:t>
      </w:r>
      <w:r>
        <w:t>提供的《残疾人福利性单位声明函》与事实不符的，依照《政府采购法》第七十七条第一款的规定追究法律责任。</w:t>
      </w:r>
    </w:p>
    <w:p w14:paraId="486A3F7C">
      <w:pPr>
        <w:spacing w:line="360" w:lineRule="auto"/>
        <w:rPr>
          <w:rFonts w:hAnsi="宋体"/>
          <w:b/>
          <w:sz w:val="28"/>
          <w:szCs w:val="28"/>
        </w:rPr>
        <w:sectPr>
          <w:pgSz w:w="11906" w:h="16838"/>
          <w:pgMar w:top="1440" w:right="1440" w:bottom="1440" w:left="1440" w:header="510" w:footer="680" w:gutter="0"/>
          <w:cols w:space="0" w:num="1"/>
          <w:titlePg/>
          <w:docGrid w:type="linesAndChars" w:linePitch="312" w:charSpace="0"/>
        </w:sectPr>
      </w:pPr>
    </w:p>
    <w:p w14:paraId="4789BAC2">
      <w:pPr>
        <w:spacing w:line="360" w:lineRule="auto"/>
        <w:jc w:val="center"/>
        <w:outlineLvl w:val="2"/>
        <w:rPr>
          <w:rFonts w:ascii="宋体" w:hAnsi="宋体" w:cs="宋体"/>
          <w:b/>
          <w:bCs/>
          <w:szCs w:val="21"/>
        </w:rPr>
      </w:pPr>
      <w:r>
        <w:rPr>
          <w:rFonts w:hint="eastAsia" w:ascii="黑体" w:hAnsi="黑体" w:eastAsia="黑体" w:cs="黑体"/>
          <w:sz w:val="28"/>
          <w:szCs w:val="28"/>
        </w:rPr>
        <w:t>★采购申请函</w:t>
      </w:r>
      <w:bookmarkEnd w:id="460"/>
    </w:p>
    <w:p w14:paraId="0B497F7C">
      <w:pPr>
        <w:pStyle w:val="18"/>
        <w:autoSpaceDE/>
        <w:autoSpaceDN/>
        <w:adjustRightInd/>
        <w:spacing w:line="360" w:lineRule="auto"/>
        <w:rPr>
          <w:rFonts w:ascii="Times New Roman"/>
          <w:kern w:val="2"/>
          <w:sz w:val="21"/>
          <w:szCs w:val="21"/>
        </w:rPr>
      </w:pPr>
      <w:bookmarkStart w:id="461" w:name="OLE_LINK213"/>
      <w:r>
        <w:rPr>
          <w:rFonts w:hint="eastAsia" w:ascii="Times New Roman"/>
          <w:kern w:val="2"/>
          <w:sz w:val="21"/>
          <w:szCs w:val="21"/>
        </w:rPr>
        <w:t>致：</w:t>
      </w:r>
      <w:r>
        <w:rPr>
          <w:rFonts w:hint="eastAsia" w:ascii="Times New Roman"/>
          <w:kern w:val="2"/>
          <w:sz w:val="21"/>
          <w:szCs w:val="21"/>
          <w:u w:val="single"/>
        </w:rPr>
        <w:t>（采购人名称）</w:t>
      </w:r>
    </w:p>
    <w:p w14:paraId="194E920D">
      <w:pPr>
        <w:pStyle w:val="18"/>
        <w:autoSpaceDE/>
        <w:autoSpaceDN/>
        <w:adjustRightInd/>
        <w:spacing w:line="360" w:lineRule="auto"/>
        <w:ind w:firstLine="420" w:firstLineChars="200"/>
        <w:rPr>
          <w:rFonts w:ascii="Times New Roman"/>
          <w:kern w:val="2"/>
          <w:sz w:val="21"/>
          <w:szCs w:val="21"/>
        </w:rPr>
      </w:pPr>
      <w:r>
        <w:rPr>
          <w:rFonts w:hint="eastAsia" w:ascii="Times New Roman"/>
          <w:kern w:val="2"/>
          <w:sz w:val="21"/>
          <w:szCs w:val="21"/>
        </w:rPr>
        <w:t>我方仔细研究了</w:t>
      </w:r>
      <w:r>
        <w:rPr>
          <w:rFonts w:hint="eastAsia" w:ascii="Times New Roman"/>
          <w:kern w:val="2"/>
          <w:sz w:val="21"/>
          <w:szCs w:val="21"/>
          <w:u w:val="single"/>
        </w:rPr>
        <w:t>（</w:t>
      </w:r>
      <w:bookmarkStart w:id="462" w:name="OLE_LINK108"/>
      <w:r>
        <w:rPr>
          <w:rFonts w:hint="eastAsia" w:ascii="Times New Roman"/>
          <w:kern w:val="2"/>
          <w:sz w:val="21"/>
          <w:szCs w:val="21"/>
          <w:u w:val="single"/>
        </w:rPr>
        <w:t>采购</w:t>
      </w:r>
      <w:bookmarkEnd w:id="462"/>
      <w:r>
        <w:rPr>
          <w:rFonts w:hint="eastAsia" w:ascii="Times New Roman"/>
          <w:kern w:val="2"/>
          <w:sz w:val="21"/>
          <w:szCs w:val="21"/>
          <w:u w:val="single"/>
        </w:rPr>
        <w:t>项目名称）：</w:t>
      </w:r>
      <w:r>
        <w:rPr>
          <w:rFonts w:hint="eastAsia" w:ascii="Times New Roman"/>
          <w:kern w:val="2"/>
          <w:sz w:val="21"/>
          <w:szCs w:val="21"/>
        </w:rPr>
        <w:t>（项目编号：）项目</w:t>
      </w:r>
      <w:bookmarkStart w:id="463" w:name="OLE_LINK98"/>
      <w:r>
        <w:rPr>
          <w:rFonts w:hint="eastAsia" w:ascii="Times New Roman"/>
          <w:kern w:val="2"/>
          <w:sz w:val="21"/>
          <w:szCs w:val="21"/>
        </w:rPr>
        <w:t>单一来源采购文件</w:t>
      </w:r>
      <w:bookmarkEnd w:id="463"/>
      <w:r>
        <w:rPr>
          <w:rFonts w:hint="eastAsia" w:ascii="Times New Roman"/>
          <w:kern w:val="2"/>
          <w:sz w:val="21"/>
          <w:szCs w:val="21"/>
        </w:rPr>
        <w:t>的全部内容，正式授权</w:t>
      </w:r>
      <w:r>
        <w:rPr>
          <w:rFonts w:hint="eastAsia" w:ascii="Times New Roman"/>
          <w:kern w:val="2"/>
          <w:sz w:val="21"/>
          <w:szCs w:val="21"/>
          <w:u w:val="single"/>
        </w:rPr>
        <w:t xml:space="preserve">  （姓名和职务）  </w:t>
      </w:r>
      <w:r>
        <w:rPr>
          <w:rFonts w:hint="eastAsia" w:ascii="Times New Roman"/>
          <w:kern w:val="2"/>
          <w:sz w:val="21"/>
          <w:szCs w:val="21"/>
        </w:rPr>
        <w:t>全权代表供应商</w:t>
      </w:r>
      <w:r>
        <w:rPr>
          <w:rFonts w:hint="eastAsia" w:ascii="Times New Roman"/>
          <w:kern w:val="2"/>
          <w:sz w:val="21"/>
          <w:szCs w:val="21"/>
          <w:u w:val="single"/>
        </w:rPr>
        <w:t xml:space="preserve">  （供应商全称）  </w:t>
      </w:r>
      <w:r>
        <w:rPr>
          <w:rFonts w:hint="eastAsia" w:ascii="Times New Roman"/>
          <w:kern w:val="2"/>
          <w:sz w:val="21"/>
          <w:szCs w:val="21"/>
        </w:rPr>
        <w:t>参加协商，并提交响应文件。</w:t>
      </w:r>
    </w:p>
    <w:p w14:paraId="6EE81DC6">
      <w:pPr>
        <w:pStyle w:val="18"/>
        <w:autoSpaceDE/>
        <w:autoSpaceDN/>
        <w:adjustRightInd/>
        <w:spacing w:line="360" w:lineRule="auto"/>
        <w:ind w:firstLine="420" w:firstLineChars="200"/>
        <w:rPr>
          <w:rFonts w:ascii="Times New Roman"/>
          <w:kern w:val="2"/>
          <w:sz w:val="21"/>
          <w:szCs w:val="21"/>
        </w:rPr>
      </w:pPr>
      <w:r>
        <w:rPr>
          <w:rFonts w:hint="eastAsia" w:ascii="Times New Roman"/>
          <w:kern w:val="2"/>
          <w:sz w:val="21"/>
          <w:szCs w:val="21"/>
        </w:rPr>
        <w:t>据此函，我方兹宣布同意如下：</w:t>
      </w:r>
    </w:p>
    <w:p w14:paraId="465BDDF4">
      <w:pPr>
        <w:pStyle w:val="18"/>
        <w:autoSpaceDE/>
        <w:autoSpaceDN/>
        <w:adjustRightInd/>
        <w:spacing w:line="360" w:lineRule="auto"/>
        <w:ind w:firstLine="420" w:firstLineChars="200"/>
        <w:rPr>
          <w:rFonts w:ascii="Times New Roman"/>
          <w:kern w:val="2"/>
          <w:sz w:val="21"/>
          <w:szCs w:val="21"/>
        </w:rPr>
      </w:pPr>
      <w:r>
        <w:rPr>
          <w:rFonts w:hint="eastAsia" w:ascii="Times New Roman"/>
          <w:kern w:val="2"/>
          <w:sz w:val="21"/>
          <w:szCs w:val="21"/>
        </w:rPr>
        <w:t>1、按单一来源采购文件及采购需求，以响应文件承诺的报价实施和完成本项目。</w:t>
      </w:r>
    </w:p>
    <w:p w14:paraId="7FE534D1">
      <w:pPr>
        <w:spacing w:line="360" w:lineRule="auto"/>
        <w:ind w:firstLine="420"/>
        <w:rPr>
          <w:szCs w:val="21"/>
        </w:rPr>
      </w:pPr>
      <w:bookmarkStart w:id="464" w:name="OLE_LINK110"/>
      <w:r>
        <w:rPr>
          <w:rFonts w:hint="eastAsia"/>
          <w:szCs w:val="21"/>
        </w:rPr>
        <w:t>2、</w:t>
      </w:r>
      <w:bookmarkStart w:id="465" w:name="OLE_LINK215"/>
      <w:r>
        <w:rPr>
          <w:rFonts w:hint="eastAsia"/>
          <w:szCs w:val="21"/>
        </w:rPr>
        <w:t>我方同意在</w:t>
      </w:r>
      <w:bookmarkStart w:id="466" w:name="OLE_LINK214"/>
      <w:r>
        <w:rPr>
          <w:rFonts w:hint="eastAsia"/>
          <w:szCs w:val="21"/>
        </w:rPr>
        <w:t>供应商</w:t>
      </w:r>
      <w:bookmarkEnd w:id="466"/>
      <w:r>
        <w:rPr>
          <w:rFonts w:hint="eastAsia"/>
          <w:szCs w:val="21"/>
        </w:rPr>
        <w:t>须知规定的开启日期起遵循本响应文件，并在供应商须知前附表规定的响应文件有效期</w:t>
      </w:r>
      <w:r>
        <w:rPr>
          <w:rFonts w:hint="eastAsia"/>
          <w:szCs w:val="21"/>
          <w:u w:val="single"/>
        </w:rPr>
        <w:t>（90日历天）</w:t>
      </w:r>
      <w:r>
        <w:rPr>
          <w:rFonts w:hint="eastAsia"/>
          <w:szCs w:val="21"/>
        </w:rPr>
        <w:t>满之前均具有约束力</w:t>
      </w:r>
      <w:bookmarkEnd w:id="465"/>
      <w:r>
        <w:rPr>
          <w:rFonts w:hint="eastAsia"/>
          <w:szCs w:val="21"/>
        </w:rPr>
        <w:t>。</w:t>
      </w:r>
    </w:p>
    <w:p w14:paraId="59BF3DD7">
      <w:pPr>
        <w:spacing w:line="360" w:lineRule="auto"/>
        <w:ind w:firstLine="420"/>
        <w:rPr>
          <w:szCs w:val="21"/>
        </w:rPr>
      </w:pPr>
      <w:r>
        <w:rPr>
          <w:rFonts w:hint="eastAsia"/>
          <w:szCs w:val="21"/>
        </w:rPr>
        <w:t>3</w:t>
      </w:r>
      <w:r>
        <w:rPr>
          <w:szCs w:val="21"/>
        </w:rPr>
        <w:t>、我方承诺已经具备《中华人民共和国政府采购法》中规定的参加政府采购活动的</w:t>
      </w:r>
      <w:r>
        <w:rPr>
          <w:rFonts w:hint="eastAsia"/>
          <w:szCs w:val="21"/>
        </w:rPr>
        <w:t>供应商</w:t>
      </w:r>
      <w:r>
        <w:rPr>
          <w:szCs w:val="21"/>
        </w:rPr>
        <w:t>应当具备的条件。</w:t>
      </w:r>
    </w:p>
    <w:p w14:paraId="7830870B">
      <w:pPr>
        <w:spacing w:line="360" w:lineRule="auto"/>
        <w:ind w:firstLine="420"/>
        <w:rPr>
          <w:szCs w:val="21"/>
        </w:rPr>
      </w:pPr>
      <w:r>
        <w:rPr>
          <w:rFonts w:hint="eastAsia"/>
          <w:szCs w:val="21"/>
        </w:rPr>
        <w:t>4</w:t>
      </w:r>
      <w:r>
        <w:rPr>
          <w:szCs w:val="21"/>
        </w:rPr>
        <w:t>、如我方</w:t>
      </w:r>
      <w:r>
        <w:rPr>
          <w:rFonts w:hint="eastAsia"/>
          <w:szCs w:val="21"/>
        </w:rPr>
        <w:t>响应</w:t>
      </w:r>
      <w:r>
        <w:rPr>
          <w:szCs w:val="21"/>
        </w:rPr>
        <w:t>被接受，将保证忠实地执行买卖双方所</w:t>
      </w:r>
      <w:r>
        <w:rPr>
          <w:rFonts w:hint="eastAsia"/>
          <w:szCs w:val="21"/>
        </w:rPr>
        <w:t>签</w:t>
      </w:r>
      <w:r>
        <w:rPr>
          <w:rFonts w:hint="eastAsia"/>
        </w:rPr>
        <w:t>政府采购合同</w:t>
      </w:r>
      <w:r>
        <w:rPr>
          <w:szCs w:val="21"/>
        </w:rPr>
        <w:t>，在承诺的期限内完成</w:t>
      </w:r>
      <w:r>
        <w:rPr>
          <w:rFonts w:hint="eastAsia"/>
          <w:szCs w:val="21"/>
        </w:rPr>
        <w:t>服务</w:t>
      </w:r>
      <w:r>
        <w:rPr>
          <w:szCs w:val="21"/>
        </w:rPr>
        <w:t>（或交付使用），并承担合同规定的责任义务。</w:t>
      </w:r>
    </w:p>
    <w:p w14:paraId="2B0BE885">
      <w:pPr>
        <w:spacing w:line="360" w:lineRule="auto"/>
        <w:ind w:firstLine="420"/>
        <w:rPr>
          <w:szCs w:val="21"/>
        </w:rPr>
      </w:pPr>
      <w:r>
        <w:rPr>
          <w:rFonts w:hint="eastAsia"/>
          <w:szCs w:val="21"/>
        </w:rPr>
        <w:t>5</w:t>
      </w:r>
      <w:r>
        <w:rPr>
          <w:szCs w:val="21"/>
        </w:rPr>
        <w:t>、如果在</w:t>
      </w:r>
      <w:r>
        <w:rPr>
          <w:rFonts w:hint="eastAsia" w:ascii="宋体" w:hAnsi="宋体" w:cs="宋体"/>
          <w:szCs w:val="21"/>
        </w:rPr>
        <w:t>单一来源采购文件</w:t>
      </w:r>
      <w:r>
        <w:rPr>
          <w:szCs w:val="21"/>
        </w:rPr>
        <w:t>有效期内撤回</w:t>
      </w:r>
      <w:r>
        <w:rPr>
          <w:rFonts w:hint="eastAsia"/>
          <w:szCs w:val="21"/>
        </w:rPr>
        <w:t>响应</w:t>
      </w:r>
      <w:r>
        <w:rPr>
          <w:szCs w:val="21"/>
        </w:rPr>
        <w:t>或者有其他违约行为，我方的保证金可被贵方全部或部分没收。</w:t>
      </w:r>
    </w:p>
    <w:p w14:paraId="2A723097">
      <w:pPr>
        <w:spacing w:line="360" w:lineRule="auto"/>
        <w:ind w:firstLine="420"/>
        <w:rPr>
          <w:szCs w:val="21"/>
        </w:rPr>
      </w:pPr>
      <w:r>
        <w:rPr>
          <w:rFonts w:hint="eastAsia"/>
          <w:szCs w:val="21"/>
        </w:rPr>
        <w:t>6</w:t>
      </w:r>
      <w:r>
        <w:rPr>
          <w:szCs w:val="21"/>
        </w:rPr>
        <w:t>、同意应贵方要求提供与本</w:t>
      </w:r>
      <w:r>
        <w:rPr>
          <w:rFonts w:hint="eastAsia"/>
          <w:szCs w:val="21"/>
        </w:rPr>
        <w:t>采购</w:t>
      </w:r>
      <w:r>
        <w:rPr>
          <w:szCs w:val="21"/>
        </w:rPr>
        <w:t>有关的任何数据或资料。</w:t>
      </w:r>
    </w:p>
    <w:p w14:paraId="012ACD89">
      <w:pPr>
        <w:spacing w:line="360" w:lineRule="auto"/>
        <w:ind w:firstLine="420"/>
        <w:rPr>
          <w:szCs w:val="21"/>
        </w:rPr>
      </w:pPr>
      <w:r>
        <w:rPr>
          <w:rFonts w:hint="eastAsia"/>
          <w:szCs w:val="21"/>
        </w:rPr>
        <w:t>7</w:t>
      </w:r>
      <w:r>
        <w:rPr>
          <w:szCs w:val="21"/>
        </w:rPr>
        <w:t>、若贵方需要，我方愿意提供我方</w:t>
      </w:r>
      <w:r>
        <w:rPr>
          <w:rFonts w:hint="eastAsia"/>
          <w:szCs w:val="21"/>
        </w:rPr>
        <w:t>做出</w:t>
      </w:r>
      <w:r>
        <w:rPr>
          <w:szCs w:val="21"/>
        </w:rPr>
        <w:t>的一切承诺的证明材料。</w:t>
      </w:r>
    </w:p>
    <w:p w14:paraId="1D76C36B">
      <w:pPr>
        <w:pStyle w:val="18"/>
        <w:autoSpaceDE/>
        <w:autoSpaceDN/>
        <w:adjustRightInd/>
        <w:spacing w:line="360" w:lineRule="auto"/>
        <w:ind w:firstLine="420"/>
        <w:rPr>
          <w:rFonts w:ascii="Times New Roman"/>
          <w:kern w:val="2"/>
          <w:sz w:val="21"/>
          <w:szCs w:val="21"/>
        </w:rPr>
      </w:pPr>
      <w:r>
        <w:rPr>
          <w:rFonts w:ascii="Times New Roman"/>
          <w:kern w:val="2"/>
          <w:sz w:val="21"/>
          <w:szCs w:val="21"/>
        </w:rPr>
        <w:t>与本</w:t>
      </w:r>
      <w:r>
        <w:rPr>
          <w:rFonts w:hint="eastAsia" w:ascii="Times New Roman"/>
          <w:kern w:val="2"/>
          <w:sz w:val="21"/>
          <w:szCs w:val="21"/>
        </w:rPr>
        <w:t>响应</w:t>
      </w:r>
      <w:r>
        <w:rPr>
          <w:rFonts w:ascii="Times New Roman"/>
          <w:kern w:val="2"/>
          <w:sz w:val="21"/>
          <w:szCs w:val="21"/>
        </w:rPr>
        <w:t>有关的正式通讯地址为：</w:t>
      </w:r>
      <w:bookmarkEnd w:id="464"/>
    </w:p>
    <w:p w14:paraId="1E59AF4B">
      <w:pPr>
        <w:spacing w:line="360" w:lineRule="auto"/>
        <w:ind w:firstLine="420"/>
        <w:rPr>
          <w:szCs w:val="21"/>
        </w:rPr>
      </w:pPr>
      <w:r>
        <w:rPr>
          <w:rFonts w:hint="eastAsia"/>
          <w:szCs w:val="21"/>
        </w:rPr>
        <w:t xml:space="preserve">地址：                            邮政编码：             </w:t>
      </w:r>
    </w:p>
    <w:p w14:paraId="6846484A">
      <w:pPr>
        <w:spacing w:line="360" w:lineRule="auto"/>
        <w:ind w:firstLine="420"/>
        <w:rPr>
          <w:szCs w:val="21"/>
        </w:rPr>
      </w:pPr>
      <w:r>
        <w:rPr>
          <w:rFonts w:hint="eastAsia"/>
          <w:szCs w:val="21"/>
        </w:rPr>
        <w:t>电话：                            传真：　　　　　　　　　</w:t>
      </w:r>
    </w:p>
    <w:p w14:paraId="1639283C">
      <w:pPr>
        <w:spacing w:line="360" w:lineRule="auto"/>
        <w:ind w:firstLine="420"/>
        <w:rPr>
          <w:szCs w:val="21"/>
        </w:rPr>
      </w:pPr>
      <w:r>
        <w:rPr>
          <w:rFonts w:hint="eastAsia"/>
          <w:szCs w:val="21"/>
        </w:rPr>
        <w:t xml:space="preserve">开户名称：                        开户银行：                    </w:t>
      </w:r>
    </w:p>
    <w:p w14:paraId="1ECF968A">
      <w:pPr>
        <w:spacing w:line="360" w:lineRule="auto"/>
        <w:ind w:firstLine="420"/>
        <w:rPr>
          <w:szCs w:val="21"/>
        </w:rPr>
      </w:pPr>
      <w:r>
        <w:rPr>
          <w:rFonts w:hint="eastAsia"/>
          <w:szCs w:val="21"/>
        </w:rPr>
        <w:t xml:space="preserve">账    号：                       </w:t>
      </w:r>
      <w:bookmarkEnd w:id="461"/>
    </w:p>
    <w:p w14:paraId="5AB6D4F9">
      <w:pPr>
        <w:tabs>
          <w:tab w:val="left" w:pos="4860"/>
        </w:tabs>
        <w:spacing w:line="360" w:lineRule="auto"/>
        <w:ind w:right="1560"/>
        <w:jc w:val="left"/>
        <w:rPr>
          <w:b/>
          <w:bCs/>
          <w:szCs w:val="21"/>
        </w:rPr>
      </w:pPr>
    </w:p>
    <w:p w14:paraId="695273D0">
      <w:pPr>
        <w:tabs>
          <w:tab w:val="left" w:pos="4860"/>
        </w:tabs>
        <w:spacing w:line="480" w:lineRule="auto"/>
        <w:ind w:right="1560" w:firstLine="420"/>
        <w:jc w:val="left"/>
        <w:rPr>
          <w:b/>
          <w:bCs/>
          <w:szCs w:val="21"/>
        </w:rPr>
      </w:pPr>
      <w:r>
        <w:rPr>
          <w:rFonts w:hint="eastAsia"/>
          <w:b/>
          <w:bCs/>
          <w:szCs w:val="21"/>
        </w:rPr>
        <w:t>供应商</w:t>
      </w:r>
      <w:r>
        <w:rPr>
          <w:b/>
          <w:bCs/>
          <w:szCs w:val="21"/>
        </w:rPr>
        <w:t>：（</w:t>
      </w:r>
      <w:r>
        <w:rPr>
          <w:rFonts w:hint="eastAsia"/>
          <w:b/>
          <w:bCs/>
          <w:szCs w:val="21"/>
        </w:rPr>
        <w:t>盖章</w:t>
      </w:r>
      <w:r>
        <w:rPr>
          <w:b/>
          <w:bCs/>
          <w:szCs w:val="21"/>
        </w:rPr>
        <w:t>）</w:t>
      </w:r>
    </w:p>
    <w:p w14:paraId="04D8F29B">
      <w:pPr>
        <w:tabs>
          <w:tab w:val="left" w:pos="4860"/>
        </w:tabs>
        <w:spacing w:line="480" w:lineRule="auto"/>
        <w:ind w:right="1560" w:firstLine="420"/>
        <w:jc w:val="left"/>
        <w:rPr>
          <w:b/>
          <w:bCs/>
          <w:szCs w:val="21"/>
          <w:u w:val="single"/>
        </w:rPr>
      </w:pPr>
      <w:r>
        <w:rPr>
          <w:b/>
          <w:bCs/>
          <w:szCs w:val="21"/>
        </w:rPr>
        <w:t>法定代表人</w:t>
      </w:r>
      <w:r>
        <w:rPr>
          <w:rFonts w:hint="eastAsia"/>
          <w:b/>
          <w:bCs/>
          <w:szCs w:val="21"/>
        </w:rPr>
        <w:t>（单位负责人）或委托代理人</w:t>
      </w:r>
      <w:r>
        <w:rPr>
          <w:b/>
          <w:bCs/>
          <w:szCs w:val="21"/>
        </w:rPr>
        <w:t>：（签名或签章）</w:t>
      </w:r>
    </w:p>
    <w:p w14:paraId="3D9ABA9B">
      <w:pPr>
        <w:spacing w:line="480" w:lineRule="auto"/>
        <w:ind w:firstLine="420" w:firstLineChars="200"/>
        <w:rPr>
          <w:b/>
          <w:bCs/>
          <w:szCs w:val="21"/>
        </w:rPr>
      </w:pPr>
      <w:r>
        <w:rPr>
          <w:b/>
          <w:bCs/>
          <w:szCs w:val="21"/>
        </w:rPr>
        <w:t>日期：</w:t>
      </w:r>
      <w:r>
        <w:rPr>
          <w:rFonts w:hint="eastAsia"/>
          <w:b/>
          <w:bCs/>
          <w:szCs w:val="21"/>
        </w:rPr>
        <w:t>年月日</w:t>
      </w:r>
    </w:p>
    <w:p w14:paraId="44B831DF">
      <w:pPr>
        <w:rPr>
          <w:b/>
          <w:bCs/>
          <w:szCs w:val="21"/>
        </w:rPr>
      </w:pPr>
      <w:r>
        <w:rPr>
          <w:rFonts w:hint="eastAsia"/>
          <w:b/>
          <w:bCs/>
          <w:szCs w:val="21"/>
        </w:rPr>
        <w:br w:type="page"/>
      </w:r>
    </w:p>
    <w:bookmarkEnd w:id="442"/>
    <w:bookmarkEnd w:id="443"/>
    <w:bookmarkEnd w:id="444"/>
    <w:bookmarkEnd w:id="445"/>
    <w:bookmarkEnd w:id="446"/>
    <w:bookmarkEnd w:id="447"/>
    <w:bookmarkEnd w:id="448"/>
    <w:bookmarkEnd w:id="449"/>
    <w:bookmarkEnd w:id="450"/>
    <w:bookmarkEnd w:id="451"/>
    <w:bookmarkEnd w:id="452"/>
    <w:p w14:paraId="683E5DFF">
      <w:pPr>
        <w:spacing w:line="360" w:lineRule="auto"/>
        <w:jc w:val="center"/>
        <w:outlineLvl w:val="2"/>
        <w:rPr>
          <w:rFonts w:eastAsia="黑体"/>
          <w:sz w:val="28"/>
          <w:szCs w:val="28"/>
        </w:rPr>
      </w:pPr>
      <w:bookmarkStart w:id="467" w:name="OLE_LINK285"/>
      <w:r>
        <w:rPr>
          <w:rFonts w:hint="eastAsia"/>
          <w:sz w:val="28"/>
          <w:szCs w:val="28"/>
        </w:rPr>
        <w:t>★</w:t>
      </w:r>
      <w:r>
        <w:rPr>
          <w:rFonts w:eastAsia="黑体"/>
          <w:sz w:val="28"/>
          <w:szCs w:val="28"/>
        </w:rPr>
        <w:t>法定代表人</w:t>
      </w:r>
      <w:r>
        <w:rPr>
          <w:rFonts w:hint="eastAsia" w:eastAsia="黑体"/>
          <w:sz w:val="28"/>
          <w:szCs w:val="28"/>
        </w:rPr>
        <w:t>（单位负责人）</w:t>
      </w:r>
      <w:r>
        <w:rPr>
          <w:rFonts w:eastAsia="黑体"/>
          <w:sz w:val="28"/>
          <w:szCs w:val="28"/>
        </w:rPr>
        <w:t>身份证明书</w:t>
      </w:r>
    </w:p>
    <w:p w14:paraId="1DEF3B03">
      <w:pPr>
        <w:spacing w:line="480" w:lineRule="auto"/>
        <w:rPr>
          <w:rFonts w:ascii="宋体" w:hAnsi="宋体" w:cs="宋体"/>
          <w:szCs w:val="21"/>
        </w:rPr>
      </w:pPr>
    </w:p>
    <w:p w14:paraId="0CBA3AD6">
      <w:pPr>
        <w:spacing w:line="480" w:lineRule="auto"/>
        <w:rPr>
          <w:rFonts w:ascii="宋体" w:hAnsi="宋体" w:cs="宋体"/>
          <w:szCs w:val="21"/>
        </w:rPr>
      </w:pPr>
      <w:r>
        <w:rPr>
          <w:rFonts w:hint="eastAsia" w:ascii="宋体" w:hAnsi="宋体" w:cs="宋体"/>
          <w:szCs w:val="21"/>
        </w:rPr>
        <w:t>供应商名称：</w:t>
      </w:r>
    </w:p>
    <w:p w14:paraId="15A27413">
      <w:pPr>
        <w:spacing w:line="480" w:lineRule="auto"/>
        <w:rPr>
          <w:rFonts w:ascii="宋体" w:hAnsi="宋体" w:cs="宋体"/>
          <w:szCs w:val="21"/>
        </w:rPr>
      </w:pPr>
      <w:r>
        <w:rPr>
          <w:rFonts w:hint="eastAsia" w:ascii="宋体" w:hAnsi="宋体" w:cs="宋体"/>
          <w:szCs w:val="21"/>
        </w:rPr>
        <w:t>单位性质：</w:t>
      </w:r>
    </w:p>
    <w:p w14:paraId="1BEE5C27">
      <w:pPr>
        <w:spacing w:line="480" w:lineRule="auto"/>
        <w:rPr>
          <w:rFonts w:ascii="宋体" w:hAnsi="宋体" w:cs="宋体"/>
          <w:szCs w:val="21"/>
        </w:rPr>
      </w:pPr>
      <w:r>
        <w:rPr>
          <w:rFonts w:hint="eastAsia" w:ascii="宋体" w:hAnsi="宋体" w:cs="宋体"/>
          <w:szCs w:val="21"/>
        </w:rPr>
        <w:t>成立时间：年月日</w:t>
      </w:r>
    </w:p>
    <w:p w14:paraId="28E598D6">
      <w:pPr>
        <w:spacing w:line="480" w:lineRule="auto"/>
        <w:rPr>
          <w:rFonts w:ascii="宋体" w:hAnsi="宋体" w:cs="宋体"/>
          <w:szCs w:val="21"/>
        </w:rPr>
      </w:pPr>
      <w:r>
        <w:rPr>
          <w:rFonts w:hint="eastAsia" w:ascii="宋体" w:hAnsi="宋体" w:cs="宋体"/>
          <w:szCs w:val="21"/>
        </w:rPr>
        <w:t>经营期限：</w:t>
      </w:r>
    </w:p>
    <w:p w14:paraId="1E71B445">
      <w:pPr>
        <w:spacing w:line="480" w:lineRule="auto"/>
        <w:rPr>
          <w:rFonts w:ascii="宋体" w:hAnsi="宋体" w:cs="宋体"/>
          <w:szCs w:val="21"/>
        </w:rPr>
      </w:pPr>
      <w:r>
        <w:rPr>
          <w:rFonts w:hint="eastAsia" w:ascii="宋体" w:hAnsi="宋体" w:cs="宋体"/>
          <w:szCs w:val="21"/>
        </w:rPr>
        <w:t>姓名：性别：年龄：职务：</w:t>
      </w:r>
    </w:p>
    <w:p w14:paraId="42848257">
      <w:pPr>
        <w:spacing w:line="480" w:lineRule="auto"/>
        <w:rPr>
          <w:rFonts w:ascii="宋体" w:hAnsi="宋体" w:cs="宋体"/>
          <w:szCs w:val="21"/>
        </w:rPr>
      </w:pPr>
      <w:r>
        <w:rPr>
          <w:rFonts w:hint="eastAsia" w:ascii="宋体" w:hAnsi="宋体" w:cs="宋体"/>
          <w:szCs w:val="21"/>
        </w:rPr>
        <w:t>系（供应商名称）的法定代表人。</w:t>
      </w:r>
    </w:p>
    <w:p w14:paraId="2445D71E">
      <w:pPr>
        <w:spacing w:line="360" w:lineRule="auto"/>
        <w:rPr>
          <w:rFonts w:ascii="宋体" w:hAnsi="宋体" w:cs="宋体"/>
          <w:szCs w:val="21"/>
        </w:rPr>
      </w:pPr>
    </w:p>
    <w:p w14:paraId="2F7C7115">
      <w:pPr>
        <w:spacing w:line="360" w:lineRule="auto"/>
        <w:ind w:firstLine="420" w:firstLineChars="200"/>
        <w:rPr>
          <w:rFonts w:ascii="宋体" w:hAnsi="宋体" w:cs="宋体"/>
          <w:szCs w:val="21"/>
        </w:rPr>
      </w:pPr>
    </w:p>
    <w:p w14:paraId="7B2F4FB0">
      <w:pPr>
        <w:spacing w:line="360" w:lineRule="auto"/>
        <w:ind w:firstLine="420" w:firstLineChars="200"/>
        <w:rPr>
          <w:rFonts w:ascii="宋体" w:hAnsi="宋体" w:cs="宋体"/>
          <w:szCs w:val="21"/>
        </w:rPr>
      </w:pPr>
      <w:r>
        <w:rPr>
          <w:rFonts w:hint="eastAsia" w:ascii="宋体" w:hAnsi="宋体" w:cs="宋体"/>
          <w:szCs w:val="21"/>
        </w:rPr>
        <w:t>特此证明。</w:t>
      </w:r>
    </w:p>
    <w:p w14:paraId="37741D2D">
      <w:pPr>
        <w:spacing w:line="360" w:lineRule="auto"/>
        <w:rPr>
          <w:rFonts w:ascii="宋体" w:hAnsi="宋体" w:cs="宋体"/>
          <w:szCs w:val="21"/>
        </w:rPr>
      </w:pPr>
    </w:p>
    <w:p w14:paraId="5E8144FC">
      <w:pPr>
        <w:spacing w:line="360" w:lineRule="auto"/>
        <w:jc w:val="left"/>
        <w:rPr>
          <w:rFonts w:ascii="宋体" w:hAnsi="宋体" w:cs="宋体"/>
          <w:b/>
          <w:bCs/>
          <w:szCs w:val="21"/>
        </w:rPr>
      </w:pPr>
    </w:p>
    <w:p w14:paraId="00FD633A">
      <w:pPr>
        <w:spacing w:line="360" w:lineRule="auto"/>
        <w:jc w:val="left"/>
        <w:rPr>
          <w:rFonts w:ascii="宋体" w:hAnsi="宋体" w:cs="宋体"/>
          <w:szCs w:val="21"/>
        </w:rPr>
      </w:pPr>
      <w:r>
        <w:rPr>
          <w:rFonts w:hint="eastAsia" w:ascii="宋体" w:hAnsi="宋体" w:cs="宋体"/>
          <w:b/>
          <w:bCs/>
          <w:szCs w:val="21"/>
        </w:rPr>
        <w:t>附：</w:t>
      </w:r>
      <w:r>
        <w:rPr>
          <w:b/>
          <w:bCs/>
          <w:szCs w:val="21"/>
        </w:rPr>
        <w:t>法定代表人</w:t>
      </w:r>
      <w:r>
        <w:rPr>
          <w:rFonts w:hint="eastAsia"/>
          <w:b/>
          <w:bCs/>
          <w:szCs w:val="21"/>
        </w:rPr>
        <w:t>（单位负责人）</w:t>
      </w:r>
      <w:r>
        <w:rPr>
          <w:b/>
          <w:bCs/>
          <w:szCs w:val="21"/>
        </w:rPr>
        <w:t>身份证</w:t>
      </w:r>
      <w:r>
        <w:rPr>
          <w:rFonts w:hint="eastAsia"/>
          <w:b/>
          <w:bCs/>
          <w:szCs w:val="21"/>
        </w:rPr>
        <w:t>正反面电子件</w:t>
      </w:r>
      <w:r>
        <w:rPr>
          <w:rFonts w:hint="eastAsia" w:ascii="宋体" w:hAnsi="宋体" w:cs="宋体"/>
          <w:b/>
          <w:bCs/>
          <w:szCs w:val="21"/>
        </w:rPr>
        <w:t>。</w:t>
      </w:r>
    </w:p>
    <w:p w14:paraId="5FB95B95">
      <w:pPr>
        <w:keepNext/>
        <w:keepLines/>
        <w:spacing w:line="360" w:lineRule="auto"/>
        <w:jc w:val="left"/>
        <w:rPr>
          <w:rFonts w:ascii="宋体" w:hAnsi="宋体" w:cs="宋体"/>
          <w:sz w:val="24"/>
        </w:rPr>
      </w:pPr>
    </w:p>
    <w:p w14:paraId="144FB3A5">
      <w:pPr>
        <w:keepNext/>
        <w:keepLines/>
        <w:spacing w:line="360" w:lineRule="auto"/>
        <w:jc w:val="left"/>
        <w:rPr>
          <w:rFonts w:ascii="宋体" w:hAnsi="宋体" w:cs="宋体"/>
          <w:sz w:val="24"/>
        </w:rPr>
      </w:pPr>
    </w:p>
    <w:p w14:paraId="288AAABD">
      <w:pPr>
        <w:keepNext/>
        <w:keepLines/>
        <w:spacing w:line="360" w:lineRule="auto"/>
        <w:jc w:val="left"/>
        <w:rPr>
          <w:rFonts w:ascii="宋体" w:hAnsi="宋体" w:cs="宋体"/>
          <w:sz w:val="24"/>
        </w:rPr>
      </w:pPr>
    </w:p>
    <w:p w14:paraId="2FC98EF1">
      <w:pPr>
        <w:keepNext/>
        <w:keepLines/>
        <w:spacing w:line="360" w:lineRule="auto"/>
        <w:jc w:val="left"/>
        <w:rPr>
          <w:rFonts w:ascii="宋体" w:hAnsi="宋体" w:cs="宋体"/>
          <w:sz w:val="24"/>
        </w:rPr>
      </w:pPr>
    </w:p>
    <w:p w14:paraId="028750E1">
      <w:pPr>
        <w:keepNext/>
        <w:keepLines/>
        <w:spacing w:line="360" w:lineRule="auto"/>
        <w:jc w:val="left"/>
        <w:rPr>
          <w:rFonts w:ascii="宋体" w:hAnsi="宋体" w:cs="宋体"/>
          <w:sz w:val="24"/>
        </w:rPr>
      </w:pPr>
    </w:p>
    <w:p w14:paraId="7F0670F3">
      <w:pPr>
        <w:keepNext/>
        <w:keepLines/>
        <w:spacing w:line="360" w:lineRule="auto"/>
        <w:jc w:val="left"/>
        <w:rPr>
          <w:rFonts w:ascii="宋体" w:hAnsi="宋体" w:cs="宋体"/>
          <w:sz w:val="24"/>
        </w:rPr>
      </w:pPr>
    </w:p>
    <w:p w14:paraId="60622E12">
      <w:pPr>
        <w:keepNext/>
        <w:keepLines/>
        <w:spacing w:line="360" w:lineRule="auto"/>
        <w:jc w:val="left"/>
        <w:rPr>
          <w:rFonts w:ascii="宋体" w:hAnsi="宋体" w:cs="宋体"/>
          <w:sz w:val="24"/>
        </w:rPr>
      </w:pPr>
    </w:p>
    <w:p w14:paraId="7AE2290C">
      <w:pPr>
        <w:ind w:firstLine="5670" w:firstLineChars="2700"/>
        <w:rPr>
          <w:rFonts w:ascii="宋体" w:hAnsi="宋体" w:cs="宋体"/>
          <w:b/>
          <w:bCs/>
          <w:szCs w:val="21"/>
        </w:rPr>
      </w:pPr>
      <w:r>
        <w:rPr>
          <w:rFonts w:hint="eastAsia" w:ascii="宋体" w:hAnsi="宋体" w:cs="宋体"/>
          <w:b/>
          <w:bCs/>
          <w:szCs w:val="21"/>
        </w:rPr>
        <w:t>供应商：（盖章）</w:t>
      </w:r>
    </w:p>
    <w:p w14:paraId="5B5D12A3">
      <w:pPr>
        <w:rPr>
          <w:rFonts w:ascii="宋体" w:hAnsi="宋体" w:cs="宋体"/>
          <w:b/>
          <w:bCs/>
          <w:szCs w:val="21"/>
        </w:rPr>
      </w:pPr>
    </w:p>
    <w:p w14:paraId="48121425">
      <w:pPr>
        <w:rPr>
          <w:rFonts w:ascii="宋体" w:hAnsi="宋体" w:cs="宋体"/>
          <w:b/>
          <w:bCs/>
          <w:szCs w:val="21"/>
        </w:rPr>
      </w:pPr>
    </w:p>
    <w:p w14:paraId="60867819">
      <w:pPr>
        <w:ind w:firstLine="5670" w:firstLineChars="2700"/>
        <w:jc w:val="left"/>
        <w:rPr>
          <w:rFonts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bookmarkEnd w:id="467"/>
    </w:p>
    <w:p w14:paraId="63604EC7">
      <w:pPr>
        <w:rPr>
          <w:bCs/>
          <w:sz w:val="32"/>
        </w:rPr>
      </w:pPr>
      <w:r>
        <w:rPr>
          <w:bCs/>
          <w:sz w:val="32"/>
        </w:rPr>
        <w:br w:type="page"/>
      </w:r>
    </w:p>
    <w:p w14:paraId="6DC19914">
      <w:pPr>
        <w:spacing w:line="360" w:lineRule="auto"/>
        <w:jc w:val="center"/>
        <w:outlineLvl w:val="2"/>
        <w:rPr>
          <w:szCs w:val="21"/>
        </w:rPr>
      </w:pPr>
      <w:bookmarkStart w:id="468" w:name="OLE_LINK212"/>
      <w:r>
        <w:rPr>
          <w:rFonts w:eastAsia="黑体"/>
          <w:sz w:val="28"/>
          <w:szCs w:val="28"/>
        </w:rPr>
        <w:t>法定代表人</w:t>
      </w:r>
      <w:r>
        <w:rPr>
          <w:rFonts w:hint="eastAsia" w:eastAsia="黑体"/>
          <w:sz w:val="28"/>
          <w:szCs w:val="28"/>
        </w:rPr>
        <w:t>（单位负责人）</w:t>
      </w:r>
      <w:r>
        <w:rPr>
          <w:rFonts w:eastAsia="黑体"/>
          <w:sz w:val="28"/>
          <w:szCs w:val="28"/>
        </w:rPr>
        <w:t>授权委托书</w:t>
      </w:r>
    </w:p>
    <w:p w14:paraId="3B522F96">
      <w:pPr>
        <w:spacing w:line="480" w:lineRule="auto"/>
        <w:ind w:firstLine="420"/>
        <w:rPr>
          <w:szCs w:val="21"/>
        </w:rPr>
      </w:pPr>
      <w:r>
        <w:rPr>
          <w:szCs w:val="21"/>
        </w:rPr>
        <w:t>本授权书声明：</w:t>
      </w:r>
      <w:r>
        <w:rPr>
          <w:szCs w:val="21"/>
          <w:u w:val="single"/>
        </w:rPr>
        <w:t xml:space="preserve"> （</w:t>
      </w:r>
      <w:r>
        <w:rPr>
          <w:rFonts w:hint="eastAsia"/>
          <w:szCs w:val="21"/>
          <w:u w:val="single"/>
        </w:rPr>
        <w:t>供应商</w:t>
      </w:r>
      <w:r>
        <w:rPr>
          <w:szCs w:val="21"/>
          <w:u w:val="single"/>
        </w:rPr>
        <w:t xml:space="preserve">全称） </w:t>
      </w:r>
      <w:r>
        <w:rPr>
          <w:szCs w:val="21"/>
        </w:rPr>
        <w:t>的法定代表人代表本公司授权</w:t>
      </w:r>
      <w:r>
        <w:rPr>
          <w:szCs w:val="21"/>
          <w:u w:val="single"/>
        </w:rPr>
        <w:t>（委托代理人姓名）</w:t>
      </w:r>
      <w:r>
        <w:rPr>
          <w:szCs w:val="21"/>
        </w:rPr>
        <w:t>为本公司合法代理人，就贵方组织的有关</w:t>
      </w:r>
      <w:r>
        <w:rPr>
          <w:szCs w:val="21"/>
          <w:u w:val="single"/>
        </w:rPr>
        <w:t>（采购项目名称）</w:t>
      </w:r>
      <w:r>
        <w:rPr>
          <w:rFonts w:hint="eastAsia"/>
          <w:szCs w:val="21"/>
          <w:u w:val="single"/>
        </w:rPr>
        <w:t xml:space="preserve">：   </w:t>
      </w:r>
      <w:r>
        <w:rPr>
          <w:szCs w:val="21"/>
        </w:rPr>
        <w:t>（</w:t>
      </w:r>
      <w:r>
        <w:rPr>
          <w:rFonts w:hint="eastAsia"/>
          <w:szCs w:val="21"/>
        </w:rPr>
        <w:t>项目</w:t>
      </w:r>
      <w:r>
        <w:rPr>
          <w:szCs w:val="21"/>
        </w:rPr>
        <w:t>编号：）的</w:t>
      </w:r>
      <w:r>
        <w:rPr>
          <w:rFonts w:hint="eastAsia"/>
          <w:szCs w:val="21"/>
        </w:rPr>
        <w:t>协商</w:t>
      </w:r>
      <w:r>
        <w:rPr>
          <w:szCs w:val="21"/>
        </w:rPr>
        <w:t>，以本单位名义处理一切与之有关的事务。</w:t>
      </w:r>
    </w:p>
    <w:p w14:paraId="7B00831D">
      <w:pPr>
        <w:spacing w:line="500" w:lineRule="exact"/>
        <w:ind w:firstLine="420"/>
        <w:rPr>
          <w:szCs w:val="21"/>
        </w:rPr>
      </w:pPr>
      <w:r>
        <w:rPr>
          <w:rFonts w:hint="eastAsia"/>
          <w:szCs w:val="21"/>
        </w:rPr>
        <w:t>委托期限：自本授权委托书签署之日起至单一来源采购有效期届满之日止。</w:t>
      </w:r>
    </w:p>
    <w:p w14:paraId="5C664942">
      <w:pPr>
        <w:spacing w:line="500" w:lineRule="exact"/>
        <w:ind w:firstLine="420"/>
        <w:rPr>
          <w:szCs w:val="21"/>
        </w:rPr>
      </w:pPr>
      <w:r>
        <w:rPr>
          <w:rFonts w:hint="eastAsia"/>
          <w:szCs w:val="21"/>
        </w:rPr>
        <w:t>代理人无转委托权。</w:t>
      </w:r>
    </w:p>
    <w:p w14:paraId="45E7DF59">
      <w:pPr>
        <w:spacing w:line="500" w:lineRule="exact"/>
        <w:ind w:firstLine="420"/>
        <w:rPr>
          <w:szCs w:val="21"/>
        </w:rPr>
      </w:pPr>
    </w:p>
    <w:p w14:paraId="1622D2D9">
      <w:pPr>
        <w:spacing w:line="480" w:lineRule="auto"/>
        <w:ind w:firstLine="4830" w:firstLineChars="2300"/>
        <w:rPr>
          <w:b/>
          <w:bCs/>
          <w:szCs w:val="21"/>
        </w:rPr>
      </w:pPr>
      <w:r>
        <w:rPr>
          <w:rFonts w:hint="eastAsia"/>
          <w:b/>
          <w:bCs/>
          <w:szCs w:val="21"/>
        </w:rPr>
        <w:t>供应商</w:t>
      </w:r>
      <w:r>
        <w:rPr>
          <w:b/>
          <w:bCs/>
          <w:szCs w:val="21"/>
        </w:rPr>
        <w:t>：（</w:t>
      </w:r>
      <w:r>
        <w:rPr>
          <w:rFonts w:hint="eastAsia"/>
          <w:b/>
          <w:bCs/>
          <w:szCs w:val="21"/>
        </w:rPr>
        <w:t>盖章</w:t>
      </w:r>
      <w:r>
        <w:rPr>
          <w:b/>
          <w:bCs/>
          <w:szCs w:val="21"/>
        </w:rPr>
        <w:t>）</w:t>
      </w:r>
    </w:p>
    <w:p w14:paraId="23231B11">
      <w:pPr>
        <w:spacing w:line="480" w:lineRule="auto"/>
        <w:jc w:val="right"/>
        <w:rPr>
          <w:b/>
          <w:bCs/>
          <w:szCs w:val="21"/>
        </w:rPr>
      </w:pPr>
      <w:bookmarkStart w:id="469" w:name="OLE_LINK102"/>
      <w:r>
        <w:rPr>
          <w:b/>
          <w:bCs/>
          <w:szCs w:val="21"/>
        </w:rPr>
        <w:t>法定代表人</w:t>
      </w:r>
      <w:r>
        <w:rPr>
          <w:rFonts w:hint="eastAsia"/>
          <w:b/>
          <w:bCs/>
          <w:szCs w:val="21"/>
        </w:rPr>
        <w:t>（单位负责人）</w:t>
      </w:r>
      <w:r>
        <w:rPr>
          <w:b/>
          <w:bCs/>
          <w:szCs w:val="21"/>
        </w:rPr>
        <w:t>：（</w:t>
      </w:r>
      <w:r>
        <w:rPr>
          <w:rFonts w:hint="eastAsia"/>
          <w:b/>
          <w:bCs/>
          <w:szCs w:val="21"/>
        </w:rPr>
        <w:t>电子签字或电子签章</w:t>
      </w:r>
      <w:r>
        <w:rPr>
          <w:b/>
          <w:bCs/>
          <w:szCs w:val="21"/>
        </w:rPr>
        <w:t>）</w:t>
      </w:r>
    </w:p>
    <w:bookmarkEnd w:id="469"/>
    <w:p w14:paraId="796B0BA3">
      <w:pPr>
        <w:pBdr>
          <w:bottom w:val="single" w:color="auto" w:sz="12" w:space="1"/>
        </w:pBdr>
        <w:spacing w:line="480" w:lineRule="auto"/>
        <w:ind w:firstLine="4830" w:firstLineChars="2300"/>
        <w:rPr>
          <w:b/>
          <w:bCs/>
          <w:szCs w:val="21"/>
        </w:rPr>
      </w:pPr>
      <w:r>
        <w:rPr>
          <w:b/>
          <w:bCs/>
          <w:szCs w:val="21"/>
        </w:rPr>
        <w:t>日期：年月日</w:t>
      </w:r>
    </w:p>
    <w:bookmarkEnd w:id="468"/>
    <w:p w14:paraId="7364C5C8">
      <w:pPr>
        <w:spacing w:line="360" w:lineRule="auto"/>
        <w:rPr>
          <w:szCs w:val="21"/>
        </w:rPr>
      </w:pPr>
      <w:bookmarkStart w:id="470" w:name="_Toc29148"/>
    </w:p>
    <w:p w14:paraId="4BD2C5BC">
      <w:pPr>
        <w:spacing w:line="360" w:lineRule="auto"/>
        <w:rPr>
          <w:szCs w:val="21"/>
          <w:u w:val="single"/>
        </w:rPr>
      </w:pPr>
      <w:r>
        <w:rPr>
          <w:rFonts w:hint="eastAsia"/>
          <w:szCs w:val="21"/>
        </w:rPr>
        <w:t>被授权</w:t>
      </w:r>
      <w:r>
        <w:rPr>
          <w:szCs w:val="21"/>
        </w:rPr>
        <w:t>委托代理人姓名：</w:t>
      </w:r>
    </w:p>
    <w:p w14:paraId="7D019F20">
      <w:pPr>
        <w:spacing w:line="360" w:lineRule="auto"/>
        <w:rPr>
          <w:szCs w:val="21"/>
        </w:rPr>
      </w:pPr>
      <w:r>
        <w:rPr>
          <w:szCs w:val="21"/>
        </w:rPr>
        <w:t>职务：</w:t>
      </w:r>
    </w:p>
    <w:p w14:paraId="2DCB4BB2">
      <w:pPr>
        <w:spacing w:line="360" w:lineRule="auto"/>
        <w:rPr>
          <w:szCs w:val="21"/>
        </w:rPr>
      </w:pPr>
      <w:r>
        <w:rPr>
          <w:szCs w:val="21"/>
        </w:rPr>
        <w:t>身份证号码：</w:t>
      </w:r>
    </w:p>
    <w:p w14:paraId="6C9B7E12">
      <w:pPr>
        <w:spacing w:line="360" w:lineRule="auto"/>
        <w:rPr>
          <w:szCs w:val="21"/>
        </w:rPr>
      </w:pPr>
      <w:r>
        <w:rPr>
          <w:szCs w:val="21"/>
        </w:rPr>
        <w:t>详细地址：</w:t>
      </w:r>
    </w:p>
    <w:p w14:paraId="7A4E0096">
      <w:pPr>
        <w:spacing w:line="360" w:lineRule="auto"/>
        <w:rPr>
          <w:szCs w:val="21"/>
        </w:rPr>
      </w:pPr>
      <w:r>
        <w:rPr>
          <w:szCs w:val="21"/>
        </w:rPr>
        <w:t>电话：</w:t>
      </w:r>
    </w:p>
    <w:p w14:paraId="677C1191">
      <w:pPr>
        <w:spacing w:line="480" w:lineRule="auto"/>
        <w:rPr>
          <w:b/>
          <w:bCs/>
          <w:szCs w:val="21"/>
        </w:rPr>
      </w:pPr>
    </w:p>
    <w:p w14:paraId="012D59EB">
      <w:pPr>
        <w:spacing w:line="480" w:lineRule="auto"/>
        <w:rPr>
          <w:b/>
          <w:bCs/>
          <w:szCs w:val="21"/>
        </w:rPr>
      </w:pPr>
      <w:r>
        <w:rPr>
          <w:b/>
          <w:bCs/>
          <w:szCs w:val="21"/>
        </w:rPr>
        <w:t>附：</w:t>
      </w:r>
      <w:r>
        <w:rPr>
          <w:rFonts w:hint="eastAsia"/>
          <w:b/>
          <w:bCs/>
          <w:szCs w:val="21"/>
        </w:rPr>
        <w:t>被授权委托代理人</w:t>
      </w:r>
      <w:r>
        <w:rPr>
          <w:b/>
          <w:bCs/>
          <w:szCs w:val="21"/>
        </w:rPr>
        <w:t>身份证</w:t>
      </w:r>
      <w:r>
        <w:rPr>
          <w:rFonts w:hint="eastAsia"/>
          <w:b/>
          <w:bCs/>
          <w:szCs w:val="21"/>
        </w:rPr>
        <w:t>正反面电子件。</w:t>
      </w:r>
    </w:p>
    <w:p w14:paraId="18B9B025">
      <w:pPr>
        <w:widowControl/>
        <w:spacing w:line="360" w:lineRule="auto"/>
        <w:jc w:val="left"/>
        <w:rPr>
          <w:b/>
          <w:bCs/>
          <w:szCs w:val="21"/>
        </w:rPr>
      </w:pPr>
    </w:p>
    <w:p w14:paraId="116B415D">
      <w:pPr>
        <w:widowControl/>
        <w:spacing w:line="360" w:lineRule="auto"/>
        <w:jc w:val="left"/>
        <w:rPr>
          <w:b/>
          <w:bCs/>
          <w:szCs w:val="21"/>
        </w:rPr>
      </w:pPr>
    </w:p>
    <w:p w14:paraId="5A09ECC0">
      <w:pPr>
        <w:widowControl/>
        <w:spacing w:line="360" w:lineRule="auto"/>
        <w:jc w:val="left"/>
        <w:rPr>
          <w:b/>
          <w:bCs/>
          <w:szCs w:val="21"/>
        </w:rPr>
      </w:pPr>
      <w:r>
        <w:rPr>
          <w:b/>
          <w:bCs/>
          <w:szCs w:val="21"/>
        </w:rPr>
        <w:t xml:space="preserve">注: </w:t>
      </w:r>
    </w:p>
    <w:p w14:paraId="7F64BB76">
      <w:pPr>
        <w:widowControl/>
        <w:spacing w:line="360" w:lineRule="auto"/>
        <w:ind w:firstLine="420" w:firstLineChars="200"/>
        <w:jc w:val="left"/>
        <w:rPr>
          <w:b/>
          <w:bCs/>
          <w:szCs w:val="21"/>
        </w:rPr>
      </w:pPr>
      <w:r>
        <w:rPr>
          <w:b/>
          <w:bCs/>
          <w:szCs w:val="21"/>
        </w:rPr>
        <w:t>1</w:t>
      </w:r>
      <w:r>
        <w:rPr>
          <w:rFonts w:hint="eastAsia"/>
          <w:b/>
          <w:bCs/>
          <w:szCs w:val="21"/>
        </w:rPr>
        <w:t>.</w:t>
      </w:r>
      <w:r>
        <w:rPr>
          <w:b/>
          <w:bCs/>
          <w:szCs w:val="21"/>
        </w:rPr>
        <w:t>若</w:t>
      </w:r>
      <w:r>
        <w:rPr>
          <w:rFonts w:hint="eastAsia"/>
          <w:b/>
          <w:bCs/>
          <w:szCs w:val="21"/>
        </w:rPr>
        <w:t>供应商</w:t>
      </w:r>
      <w:r>
        <w:rPr>
          <w:b/>
          <w:bCs/>
          <w:szCs w:val="21"/>
        </w:rPr>
        <w:t xml:space="preserve">为事业单位或其他组织或分支机构，则法定代表人（单位负责人）处的签署人可为单位负责人。 </w:t>
      </w:r>
    </w:p>
    <w:p w14:paraId="2F9473F6">
      <w:pPr>
        <w:spacing w:line="360" w:lineRule="auto"/>
        <w:ind w:firstLine="420" w:firstLineChars="200"/>
        <w:jc w:val="left"/>
        <w:rPr>
          <w:rFonts w:eastAsia="黑体"/>
          <w:sz w:val="28"/>
          <w:szCs w:val="28"/>
        </w:rPr>
      </w:pPr>
      <w:r>
        <w:rPr>
          <w:b/>
          <w:bCs/>
          <w:szCs w:val="21"/>
        </w:rPr>
        <w:t>2.若</w:t>
      </w:r>
      <w:r>
        <w:rPr>
          <w:rFonts w:hint="eastAsia"/>
          <w:b/>
          <w:bCs/>
          <w:szCs w:val="21"/>
        </w:rPr>
        <w:t>响应文件</w:t>
      </w:r>
      <w:r>
        <w:rPr>
          <w:b/>
          <w:bCs/>
          <w:szCs w:val="21"/>
        </w:rPr>
        <w:t>中签字之处均为法定代表人（单位负责人）本人签署，则可不</w:t>
      </w:r>
      <w:r>
        <w:rPr>
          <w:rFonts w:hint="eastAsia"/>
          <w:b/>
          <w:bCs/>
          <w:szCs w:val="21"/>
        </w:rPr>
        <w:t>提供本《授权委托书》</w:t>
      </w:r>
      <w:r>
        <w:rPr>
          <w:b/>
          <w:bCs/>
          <w:szCs w:val="21"/>
        </w:rPr>
        <w:t>，但须</w:t>
      </w:r>
      <w:r>
        <w:rPr>
          <w:rFonts w:hint="eastAsia"/>
          <w:b/>
          <w:bCs/>
          <w:szCs w:val="21"/>
        </w:rPr>
        <w:t>提供《法定代表人（单位负责人）身份证明书》。</w:t>
      </w:r>
      <w:bookmarkEnd w:id="470"/>
      <w:r>
        <w:rPr>
          <w:rFonts w:hint="eastAsia" w:eastAsia="黑体"/>
          <w:sz w:val="28"/>
          <w:szCs w:val="28"/>
        </w:rPr>
        <w:br w:type="page"/>
      </w:r>
    </w:p>
    <w:p w14:paraId="16B11161">
      <w:pPr>
        <w:spacing w:line="600" w:lineRule="exact"/>
        <w:jc w:val="center"/>
        <w:outlineLvl w:val="2"/>
        <w:rPr>
          <w:rFonts w:eastAsia="黑体"/>
          <w:sz w:val="28"/>
          <w:szCs w:val="28"/>
        </w:rPr>
      </w:pPr>
      <w:r>
        <w:rPr>
          <w:rFonts w:hint="eastAsia" w:eastAsia="黑体"/>
          <w:sz w:val="28"/>
          <w:szCs w:val="28"/>
        </w:rPr>
        <w:t>成交通知书送达确认的承诺</w:t>
      </w:r>
    </w:p>
    <w:p w14:paraId="665D46FE">
      <w:pPr>
        <w:pStyle w:val="12"/>
        <w:spacing w:before="156"/>
      </w:pPr>
    </w:p>
    <w:p w14:paraId="40B77087">
      <w:pPr>
        <w:spacing w:line="360" w:lineRule="auto"/>
        <w:rPr>
          <w:rFonts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64912841">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如我公司有幸成交</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我公司同意贵单位将成交通知书（非原件）以电子邮件方式发送至我单位下述电子邮箱，并承诺在电子邮件进入我方电子邮箱时间的第二天内,由授权代表到贵公司办理领取成交通知书原件的签收及相关事宜，否则贵公司可视为我公司已签收了成交通知书。</w:t>
      </w:r>
    </w:p>
    <w:p w14:paraId="26810148">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收件人姓名：</w:t>
      </w:r>
    </w:p>
    <w:p w14:paraId="28281DB9">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收件人电话号码：</w:t>
      </w:r>
    </w:p>
    <w:p w14:paraId="3EF457DD">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收件人电子邮箱：</w:t>
      </w:r>
    </w:p>
    <w:p w14:paraId="41DFBE1F">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p w14:paraId="4451D935">
      <w:pPr>
        <w:spacing w:line="552" w:lineRule="auto"/>
        <w:rPr>
          <w:rFonts w:ascii="宋体" w:hAnsi="宋体" w:cs="宋体"/>
          <w:szCs w:val="21"/>
          <w:shd w:val="clear" w:color="auto" w:fill="FFFFFF"/>
        </w:rPr>
      </w:pPr>
    </w:p>
    <w:p w14:paraId="02766BE5">
      <w:pPr>
        <w:spacing w:line="360" w:lineRule="auto"/>
        <w:ind w:firstLine="2" w:firstLineChars="1"/>
        <w:rPr>
          <w:rFonts w:ascii="宋体" w:hAnsi="宋体" w:cs="宋体"/>
          <w:szCs w:val="21"/>
        </w:rPr>
      </w:pPr>
    </w:p>
    <w:p w14:paraId="1B56A9F9">
      <w:pPr>
        <w:pStyle w:val="12"/>
        <w:spacing w:before="156"/>
        <w:sectPr>
          <w:pgSz w:w="11906" w:h="16838"/>
          <w:pgMar w:top="1440" w:right="1440" w:bottom="1440" w:left="1440" w:header="510" w:footer="680" w:gutter="0"/>
          <w:cols w:space="0" w:num="1"/>
          <w:titlePg/>
          <w:docGrid w:type="linesAndChars" w:linePitch="312" w:charSpace="0"/>
        </w:sectPr>
      </w:pPr>
    </w:p>
    <w:p w14:paraId="530C35D5">
      <w:pPr>
        <w:pStyle w:val="3"/>
        <w:keepLines/>
        <w:autoSpaceDE/>
        <w:autoSpaceDN/>
        <w:adjustRightInd/>
        <w:jc w:val="center"/>
        <w:rPr>
          <w:rFonts w:ascii="黑体" w:hAnsi="黑体" w:eastAsia="黑体" w:cs="黑体"/>
          <w:color w:val="auto"/>
          <w:kern w:val="44"/>
          <w:sz w:val="32"/>
          <w:szCs w:val="32"/>
        </w:rPr>
      </w:pPr>
      <w:bookmarkStart w:id="471" w:name="_Toc86124091"/>
      <w:bookmarkStart w:id="472" w:name="_Toc22427"/>
      <w:bookmarkStart w:id="473" w:name="_Toc31532"/>
      <w:bookmarkStart w:id="474" w:name="_Toc261"/>
      <w:r>
        <w:rPr>
          <w:rFonts w:hint="eastAsia" w:ascii="黑体" w:hAnsi="黑体" w:eastAsia="黑体" w:cs="黑体"/>
          <w:color w:val="auto"/>
          <w:kern w:val="44"/>
          <w:sz w:val="32"/>
          <w:szCs w:val="32"/>
        </w:rPr>
        <w:t xml:space="preserve">第五章  </w:t>
      </w:r>
      <w:bookmarkEnd w:id="471"/>
      <w:r>
        <w:rPr>
          <w:rFonts w:hint="eastAsia" w:ascii="黑体" w:hAnsi="黑体" w:eastAsia="黑体" w:cs="黑体"/>
          <w:color w:val="auto"/>
          <w:kern w:val="44"/>
          <w:sz w:val="32"/>
          <w:szCs w:val="32"/>
        </w:rPr>
        <w:t>采购需求</w:t>
      </w:r>
      <w:bookmarkEnd w:id="472"/>
      <w:bookmarkEnd w:id="473"/>
      <w:bookmarkEnd w:id="474"/>
    </w:p>
    <w:p w14:paraId="25496C93">
      <w:pPr>
        <w:spacing w:before="60" w:after="60" w:line="480" w:lineRule="auto"/>
        <w:ind w:firstLine="205" w:firstLineChars="98"/>
        <w:rPr>
          <w:b/>
          <w:bCs/>
          <w:szCs w:val="21"/>
        </w:rPr>
      </w:pPr>
      <w:bookmarkStart w:id="475" w:name="OLE_LINK337"/>
      <w:r>
        <w:rPr>
          <w:rFonts w:hint="eastAsia"/>
          <w:b/>
          <w:bCs/>
          <w:szCs w:val="21"/>
        </w:rPr>
        <w:t>说明：</w:t>
      </w:r>
    </w:p>
    <w:p w14:paraId="63FE31A8">
      <w:pPr>
        <w:spacing w:line="360" w:lineRule="auto"/>
        <w:ind w:firstLine="420" w:firstLineChars="200"/>
        <w:jc w:val="left"/>
        <w:rPr>
          <w:rFonts w:hAnsi="宋体"/>
          <w:szCs w:val="21"/>
        </w:rPr>
      </w:pPr>
      <w:bookmarkStart w:id="476" w:name="_Toc3521"/>
      <w:r>
        <w:rPr>
          <w:rFonts w:hint="eastAsia" w:ascii="宋体" w:hAnsi="宋体" w:cs="宋体"/>
          <w:szCs w:val="21"/>
        </w:rPr>
        <w:t>1.各供应商必须对单一来源采购文件第五章《采购需求》中的规格、技术条款和性能要求作出全面、真实的反映，若响应文件中未对单一来源采购文件第五章《采购需求》中的规格、技术条款和性能要求作出全面、真实的反映，而供应商又未在响应文件中作出说明和解释的，单一来源采购人员在评审时可以视为不响应该条规格、技术条款和性能要求。</w:t>
      </w:r>
    </w:p>
    <w:p w14:paraId="43548773">
      <w:pPr>
        <w:spacing w:line="360" w:lineRule="auto"/>
        <w:ind w:firstLine="420" w:firstLineChars="200"/>
        <w:jc w:val="left"/>
        <w:rPr>
          <w:rFonts w:hAnsi="宋体"/>
          <w:szCs w:val="21"/>
        </w:rPr>
      </w:pPr>
      <w:r>
        <w:rPr>
          <w:rFonts w:hint="eastAsia" w:hAnsi="宋体"/>
          <w:szCs w:val="21"/>
        </w:rPr>
        <w:t>2.</w:t>
      </w:r>
      <w:r>
        <w:rPr>
          <w:rFonts w:hint="eastAsia" w:ascii="宋体" w:hAnsi="宋体" w:cs="宋体"/>
          <w:szCs w:val="21"/>
        </w:rPr>
        <w:t>本章各项规格、技术条款和性能要求如出现引用某一特定的专利技术、商标、名称、设计、原产地或供应者等情况，则仅起参考作用。供应商可选用实质上“相当于”或“优于”该参考规格、技术条款和性能要求的产品（服务）响应。</w:t>
      </w:r>
    </w:p>
    <w:p w14:paraId="4832EF08">
      <w:pPr>
        <w:spacing w:line="360" w:lineRule="auto"/>
        <w:ind w:firstLine="420" w:firstLineChars="200"/>
        <w:rPr>
          <w:rFonts w:ascii="宋体" w:hAnsi="宋体" w:cs="宋体"/>
          <w:szCs w:val="21"/>
        </w:rPr>
      </w:pPr>
      <w:bookmarkStart w:id="477" w:name="_Toc491307394"/>
      <w:bookmarkStart w:id="478" w:name="_Toc491307332"/>
      <w:r>
        <w:rPr>
          <w:rFonts w:hint="eastAsia" w:ascii="宋体" w:hAnsi="宋体" w:cs="宋体"/>
          <w:szCs w:val="21"/>
        </w:rPr>
        <w:t>3.供应商应保证其提供的货物、工程或者服务在采购人使用期间不受第三方可能提出的侵犯其所有权、知识产权、商标权、专利权、著作权等相关权利的起诉。</w:t>
      </w:r>
    </w:p>
    <w:p w14:paraId="7397FE72">
      <w:pPr>
        <w:spacing w:line="360" w:lineRule="auto"/>
        <w:ind w:firstLine="420" w:firstLineChars="200"/>
        <w:rPr>
          <w:rFonts w:ascii="宋体" w:hAnsi="宋体" w:cs="宋体"/>
          <w:szCs w:val="21"/>
        </w:rPr>
      </w:pPr>
      <w:r>
        <w:rPr>
          <w:rFonts w:hint="eastAsia" w:ascii="宋体" w:hAnsi="宋体" w:cs="宋体"/>
          <w:szCs w:val="21"/>
        </w:rPr>
        <w:t>4.供应商应对在合同履行的过程中，涉及到采购人的工作信息等秘密内容进行保密。双方应共同对采购过程中涉及的技术情报和资料进行保密。</w:t>
      </w:r>
    </w:p>
    <w:bookmarkEnd w:id="477"/>
    <w:bookmarkEnd w:id="478"/>
    <w:p w14:paraId="2BEC7AA9">
      <w:pPr>
        <w:spacing w:line="360" w:lineRule="auto"/>
        <w:ind w:firstLine="420" w:firstLineChars="200"/>
      </w:pPr>
      <w:r>
        <w:rPr>
          <w:rFonts w:hint="eastAsia"/>
        </w:rPr>
        <w:t>5</w:t>
      </w:r>
      <w:r>
        <w:t>.</w:t>
      </w:r>
      <w:bookmarkStart w:id="479" w:name="OLE_LINK366"/>
      <w:r>
        <w:rPr>
          <w:rFonts w:hint="eastAsia"/>
        </w:rPr>
        <w:t>供应商</w:t>
      </w:r>
      <w:r>
        <w:t>应严格按照《中华人民共和国政府采购法》、《中华人民共和国政府采购法实施条例》、</w:t>
      </w:r>
      <w:bookmarkEnd w:id="479"/>
      <w:r>
        <w:rPr>
          <w:rFonts w:hint="eastAsia" w:hAnsi="宋体"/>
          <w:szCs w:val="21"/>
        </w:rPr>
        <w:t>《</w:t>
      </w:r>
      <w:r>
        <w:rPr>
          <w:rFonts w:hint="eastAsia" w:ascii="宋体" w:hAnsi="宋体" w:cs="宋体"/>
          <w:szCs w:val="21"/>
        </w:rPr>
        <w:t>政府采购非招标采购方式管理办法</w:t>
      </w:r>
      <w:r>
        <w:rPr>
          <w:rFonts w:hint="eastAsia" w:hAnsi="宋体"/>
          <w:szCs w:val="21"/>
        </w:rPr>
        <w:t>》</w:t>
      </w:r>
      <w:r>
        <w:t>等有关法律、法规的规定进行</w:t>
      </w:r>
      <w:r>
        <w:rPr>
          <w:rFonts w:hint="eastAsia"/>
        </w:rPr>
        <w:t>协商</w:t>
      </w:r>
      <w:r>
        <w:t>，合同签订后采购人将按照</w:t>
      </w:r>
      <w:r>
        <w:rPr>
          <w:rFonts w:hint="eastAsia"/>
        </w:rPr>
        <w:t>成交</w:t>
      </w:r>
      <w:r>
        <w:t>人</w:t>
      </w:r>
      <w:r>
        <w:rPr>
          <w:rFonts w:hint="eastAsia"/>
        </w:rPr>
        <w:t>响应</w:t>
      </w:r>
      <w:r>
        <w:t>文件中所投服务进行验收，一旦发现虚假应标行为，取消该</w:t>
      </w:r>
      <w:r>
        <w:rPr>
          <w:rFonts w:hint="eastAsia"/>
        </w:rPr>
        <w:t>成交</w:t>
      </w:r>
      <w:r>
        <w:t>人的</w:t>
      </w:r>
      <w:r>
        <w:rPr>
          <w:rFonts w:hint="eastAsia"/>
        </w:rPr>
        <w:t>成交</w:t>
      </w:r>
      <w:r>
        <w:t>资格，并保留追究其法律责任的权利。</w:t>
      </w:r>
    </w:p>
    <w:p w14:paraId="0B3E6087">
      <w:pPr>
        <w:spacing w:line="360" w:lineRule="auto"/>
        <w:ind w:firstLine="420"/>
      </w:pPr>
      <w:r>
        <w:rPr>
          <w:rFonts w:hint="eastAsia"/>
        </w:rPr>
        <w:t>6</w:t>
      </w:r>
      <w:r>
        <w:t>.本</w:t>
      </w:r>
      <w:r>
        <w:rPr>
          <w:rFonts w:hint="eastAsia"/>
        </w:rPr>
        <w:t>单一来源采购文件</w:t>
      </w:r>
      <w:r>
        <w:t>的解释权属于采购人、采购代理机构。</w:t>
      </w:r>
      <w:bookmarkEnd w:id="476"/>
    </w:p>
    <w:bookmarkEnd w:id="475"/>
    <w:p w14:paraId="672431D0">
      <w:pPr>
        <w:pStyle w:val="12"/>
        <w:spacing w:before="156"/>
      </w:pPr>
    </w:p>
    <w:p w14:paraId="5EAC706B">
      <w:pPr>
        <w:rPr>
          <w:rFonts w:ascii="宋体" w:hAnsi="宋体"/>
          <w:b/>
          <w:bCs/>
          <w:szCs w:val="21"/>
        </w:rPr>
      </w:pPr>
      <w:r>
        <w:rPr>
          <w:rFonts w:hint="eastAsia" w:ascii="宋体" w:hAnsi="宋体"/>
          <w:b/>
          <w:bCs/>
          <w:szCs w:val="21"/>
        </w:rPr>
        <w:br w:type="page"/>
      </w:r>
    </w:p>
    <w:p w14:paraId="38EC6683">
      <w:pPr>
        <w:pStyle w:val="4"/>
        <w:spacing w:before="0" w:after="0" w:line="460" w:lineRule="exact"/>
        <w:jc w:val="both"/>
      </w:pPr>
      <w:r>
        <w:rPr>
          <w:rFonts w:hint="eastAsia"/>
        </w:rPr>
        <w:t>一、技术要求</w:t>
      </w:r>
    </w:p>
    <w:p w14:paraId="1F0CDBDA">
      <w:pPr>
        <w:pStyle w:val="5"/>
        <w:ind w:firstLine="0" w:firstLineChars="0"/>
        <w:jc w:val="both"/>
        <w:rPr>
          <w:rFonts w:hAnsi="宋体" w:cs="宋体"/>
          <w:sz w:val="21"/>
          <w:szCs w:val="21"/>
        </w:rPr>
      </w:pPr>
      <w:r>
        <w:rPr>
          <w:rFonts w:hint="eastAsia" w:hAnsi="宋体" w:cs="宋体"/>
          <w:sz w:val="21"/>
          <w:szCs w:val="21"/>
        </w:rPr>
        <w:t>（一）智慧课程建设服务</w:t>
      </w:r>
    </w:p>
    <w:p w14:paraId="1801FACE">
      <w:pPr>
        <w:spacing w:line="360" w:lineRule="auto"/>
        <w:rPr>
          <w:rFonts w:ascii="宋体" w:hAnsi="宋体" w:cs="宋体"/>
          <w:szCs w:val="21"/>
        </w:rPr>
      </w:pPr>
      <w:r>
        <w:rPr>
          <w:rFonts w:hint="eastAsia" w:ascii="宋体" w:hAnsi="宋体" w:cs="宋体"/>
          <w:szCs w:val="21"/>
        </w:rPr>
        <w:t>1.课程概述</w:t>
      </w:r>
    </w:p>
    <w:p w14:paraId="154D7866">
      <w:pPr>
        <w:spacing w:line="360" w:lineRule="auto"/>
        <w:ind w:firstLine="400"/>
        <w:jc w:val="left"/>
        <w:rPr>
          <w:rFonts w:ascii="宋体" w:hAnsi="宋体" w:cs="宋体"/>
          <w:kern w:val="0"/>
          <w:szCs w:val="21"/>
        </w:rPr>
      </w:pPr>
      <w:r>
        <w:rPr>
          <w:rFonts w:hint="eastAsia" w:ascii="宋体" w:hAnsi="宋体" w:cs="宋体"/>
          <w:kern w:val="0"/>
          <w:szCs w:val="21"/>
        </w:rPr>
        <w:t>1）支持对课程的基本信息进行编辑，基本信息包括：负责教师，说课视频，课程封面，课程简介。</w:t>
      </w:r>
    </w:p>
    <w:p w14:paraId="0B35FD2E">
      <w:pPr>
        <w:spacing w:line="360" w:lineRule="auto"/>
        <w:ind w:firstLine="400"/>
        <w:jc w:val="left"/>
        <w:rPr>
          <w:rFonts w:ascii="宋体" w:hAnsi="宋体" w:cs="宋体"/>
          <w:kern w:val="0"/>
          <w:szCs w:val="21"/>
        </w:rPr>
      </w:pPr>
      <w:r>
        <w:rPr>
          <w:rFonts w:hint="eastAsia" w:ascii="宋体" w:hAnsi="宋体" w:cs="宋体"/>
          <w:kern w:val="0"/>
          <w:szCs w:val="21"/>
        </w:rPr>
        <w:t>2）说课视频支持MP3，MP4等主流视频格式，课程封面支持上传jpg，png等主流图片格式，课程简介不低于5000字。</w:t>
      </w:r>
    </w:p>
    <w:p w14:paraId="145813B7">
      <w:pPr>
        <w:spacing w:line="360" w:lineRule="auto"/>
        <w:ind w:firstLine="400"/>
        <w:jc w:val="left"/>
        <w:rPr>
          <w:rFonts w:ascii="宋体" w:hAnsi="宋体" w:cs="宋体"/>
          <w:kern w:val="0"/>
          <w:szCs w:val="21"/>
        </w:rPr>
      </w:pPr>
      <w:r>
        <w:rPr>
          <w:rFonts w:hint="eastAsia" w:ascii="宋体" w:hAnsi="宋体" w:cs="宋体"/>
          <w:kern w:val="0"/>
          <w:szCs w:val="21"/>
        </w:rPr>
        <w:t>3）支持根据智慧课程的教学团队自动生成虚拟教研室，虚拟教研室中包含虚拟教研活动介绍与详情，虚拟教研室成员，虚拟教研室牵头单位与虚拟教研室负责老师。支持根据虚拟教研室教研活动，生成过程化虚拟教研记录。</w:t>
      </w:r>
    </w:p>
    <w:p w14:paraId="7B251C2B">
      <w:pPr>
        <w:spacing w:line="360" w:lineRule="auto"/>
        <w:ind w:firstLine="400"/>
        <w:jc w:val="left"/>
        <w:rPr>
          <w:rFonts w:ascii="宋体" w:hAnsi="宋体" w:cs="宋体"/>
          <w:kern w:val="0"/>
          <w:szCs w:val="21"/>
        </w:rPr>
      </w:pPr>
      <w:r>
        <w:rPr>
          <w:rFonts w:hint="eastAsia" w:ascii="宋体" w:hAnsi="宋体" w:cs="宋体"/>
          <w:kern w:val="0"/>
          <w:szCs w:val="21"/>
        </w:rPr>
        <w:t>4）支持现实虚拟教研室成员详情，包含团队成员头像、姓名、简介、职称等。</w:t>
      </w:r>
    </w:p>
    <w:p w14:paraId="59A9A327">
      <w:pPr>
        <w:spacing w:line="360" w:lineRule="auto"/>
        <w:ind w:firstLine="400"/>
        <w:jc w:val="left"/>
        <w:rPr>
          <w:rFonts w:ascii="宋体" w:hAnsi="宋体" w:cs="宋体"/>
          <w:kern w:val="0"/>
          <w:szCs w:val="21"/>
        </w:rPr>
      </w:pPr>
      <w:r>
        <w:rPr>
          <w:rFonts w:hint="eastAsia" w:ascii="宋体" w:hAnsi="宋体" w:cs="宋体"/>
          <w:kern w:val="0"/>
          <w:szCs w:val="21"/>
        </w:rPr>
        <w:t>5）支持引用慕课平台中的课程资源和教材资源添加到图谱中，其中课程支持整门引用，也支持按照章节引用。</w:t>
      </w:r>
    </w:p>
    <w:p w14:paraId="28D7A9E9">
      <w:pPr>
        <w:spacing w:line="360" w:lineRule="auto"/>
        <w:ind w:firstLine="400"/>
        <w:jc w:val="left"/>
        <w:rPr>
          <w:rFonts w:ascii="宋体" w:hAnsi="宋体" w:cs="宋体"/>
          <w:kern w:val="0"/>
          <w:szCs w:val="21"/>
        </w:rPr>
      </w:pPr>
      <w:r>
        <w:rPr>
          <w:rFonts w:hint="eastAsia" w:ascii="宋体" w:hAnsi="宋体" w:cs="宋体"/>
          <w:kern w:val="0"/>
          <w:szCs w:val="21"/>
        </w:rPr>
        <w:t>6）支持课程资源引用界面包括课程名称，课程资源，所属学校等字段。</w:t>
      </w:r>
    </w:p>
    <w:p w14:paraId="75ED02C6">
      <w:pPr>
        <w:spacing w:line="360" w:lineRule="auto"/>
        <w:ind w:firstLine="400"/>
        <w:jc w:val="left"/>
        <w:rPr>
          <w:rFonts w:ascii="宋体" w:hAnsi="宋体" w:cs="宋体"/>
          <w:kern w:val="0"/>
          <w:szCs w:val="21"/>
        </w:rPr>
      </w:pPr>
      <w:r>
        <w:rPr>
          <w:rFonts w:hint="eastAsia" w:ascii="宋体" w:hAnsi="宋体" w:cs="宋体"/>
          <w:kern w:val="0"/>
          <w:szCs w:val="21"/>
        </w:rPr>
        <w:t>7）自有平台可提供本科国家级一流课程资源引用数量不低于500门。</w:t>
      </w:r>
    </w:p>
    <w:p w14:paraId="5CEA2913">
      <w:pPr>
        <w:spacing w:line="360" w:lineRule="auto"/>
        <w:ind w:firstLine="400"/>
        <w:jc w:val="left"/>
        <w:rPr>
          <w:rFonts w:ascii="宋体" w:hAnsi="宋体" w:cs="宋体"/>
          <w:kern w:val="0"/>
          <w:szCs w:val="21"/>
        </w:rPr>
      </w:pPr>
      <w:r>
        <w:rPr>
          <w:rFonts w:hint="eastAsia" w:ascii="宋体" w:hAnsi="宋体" w:cs="宋体"/>
          <w:kern w:val="0"/>
          <w:szCs w:val="21"/>
        </w:rPr>
        <w:t>8）支持引入自有平台中的虚拟仿真实验课程资源，学生可免登录转至课程实验界面进行实验练习。</w:t>
      </w:r>
    </w:p>
    <w:p w14:paraId="2EBC0DD0">
      <w:pPr>
        <w:spacing w:line="360" w:lineRule="auto"/>
        <w:ind w:firstLine="400"/>
        <w:jc w:val="left"/>
        <w:rPr>
          <w:rFonts w:ascii="宋体" w:hAnsi="宋体" w:cs="宋体"/>
          <w:kern w:val="0"/>
          <w:szCs w:val="21"/>
        </w:rPr>
      </w:pPr>
      <w:r>
        <w:rPr>
          <w:rFonts w:hint="eastAsia" w:ascii="宋体" w:hAnsi="宋体" w:cs="宋体"/>
          <w:kern w:val="0"/>
          <w:szCs w:val="21"/>
        </w:rPr>
        <w:t>9）支持根据课程建设成果，生成课程的专属成果相册，成果相册生成范围包含；课程体系、课程框架、课程地图、课程图谱等。</w:t>
      </w:r>
    </w:p>
    <w:p w14:paraId="07AD28DC">
      <w:pPr>
        <w:spacing w:line="360" w:lineRule="auto"/>
        <w:jc w:val="left"/>
        <w:rPr>
          <w:rFonts w:ascii="宋体" w:hAnsi="宋体" w:cs="宋体"/>
          <w:szCs w:val="21"/>
        </w:rPr>
      </w:pPr>
      <w:r>
        <w:rPr>
          <w:rFonts w:hint="eastAsia" w:ascii="宋体" w:hAnsi="宋体" w:cs="宋体"/>
          <w:szCs w:val="21"/>
        </w:rPr>
        <w:t>2.课程设计</w:t>
      </w:r>
    </w:p>
    <w:p w14:paraId="00F33DE0">
      <w:pPr>
        <w:spacing w:line="360" w:lineRule="auto"/>
        <w:ind w:firstLine="400"/>
        <w:jc w:val="left"/>
        <w:rPr>
          <w:rFonts w:ascii="宋体" w:hAnsi="宋体" w:cs="宋体"/>
          <w:kern w:val="0"/>
          <w:szCs w:val="21"/>
        </w:rPr>
      </w:pPr>
      <w:r>
        <w:rPr>
          <w:rFonts w:hint="eastAsia" w:ascii="宋体" w:hAnsi="宋体" w:cs="宋体"/>
          <w:kern w:val="0"/>
          <w:szCs w:val="21"/>
        </w:rPr>
        <w:t>1）支持统计课程的详细建设与教学数据，数据包含知识模块建设数量、知识点总数、知识节点总数、知识教案总数、能力目标、实践问题数量、教学资源数量与外部引用资源数量。</w:t>
      </w:r>
    </w:p>
    <w:p w14:paraId="28DB14C2">
      <w:pPr>
        <w:spacing w:line="360" w:lineRule="auto"/>
        <w:ind w:firstLine="400"/>
        <w:jc w:val="left"/>
        <w:rPr>
          <w:rFonts w:ascii="宋体" w:hAnsi="宋体" w:cs="宋体"/>
          <w:kern w:val="0"/>
          <w:szCs w:val="21"/>
        </w:rPr>
      </w:pPr>
      <w:r>
        <w:rPr>
          <w:rFonts w:hint="eastAsia" w:ascii="宋体" w:hAnsi="宋体" w:cs="宋体"/>
          <w:kern w:val="0"/>
          <w:szCs w:val="21"/>
        </w:rPr>
        <w:t>2）支持显示课程的基本教学定位，教学定位信息包含：课程类别、适用专业、先修课程、后续课程等。</w:t>
      </w:r>
    </w:p>
    <w:p w14:paraId="3A281395">
      <w:pPr>
        <w:spacing w:line="360" w:lineRule="auto"/>
        <w:ind w:firstLine="400"/>
        <w:jc w:val="left"/>
        <w:rPr>
          <w:rFonts w:ascii="宋体" w:hAnsi="宋体" w:cs="宋体"/>
          <w:kern w:val="0"/>
          <w:szCs w:val="21"/>
        </w:rPr>
      </w:pPr>
      <w:r>
        <w:rPr>
          <w:rFonts w:hint="eastAsia" w:ascii="宋体" w:hAnsi="宋体" w:cs="宋体"/>
          <w:kern w:val="0"/>
          <w:szCs w:val="21"/>
        </w:rPr>
        <w:t>3）持描述课程基本的教学简介，教学简介包含文字、公式、图片等信息。</w:t>
      </w:r>
    </w:p>
    <w:p w14:paraId="1B992006">
      <w:pPr>
        <w:spacing w:line="360" w:lineRule="auto"/>
        <w:ind w:firstLine="400"/>
        <w:jc w:val="left"/>
        <w:rPr>
          <w:rFonts w:ascii="宋体" w:hAnsi="宋体" w:cs="宋体"/>
          <w:kern w:val="0"/>
          <w:szCs w:val="21"/>
        </w:rPr>
      </w:pPr>
      <w:r>
        <w:rPr>
          <w:rFonts w:hint="eastAsia" w:ascii="宋体" w:hAnsi="宋体" w:cs="宋体"/>
          <w:kern w:val="0"/>
          <w:szCs w:val="21"/>
        </w:rPr>
        <w:t>4）支持显示课程的教学逻辑关系图，显示目标课程的前后序课程学习关系。</w:t>
      </w:r>
    </w:p>
    <w:p w14:paraId="02E3BCBA">
      <w:pPr>
        <w:spacing w:line="360" w:lineRule="auto"/>
        <w:ind w:firstLine="400"/>
        <w:jc w:val="left"/>
        <w:rPr>
          <w:rFonts w:ascii="宋体" w:hAnsi="宋体" w:cs="宋体"/>
          <w:kern w:val="0"/>
          <w:szCs w:val="21"/>
        </w:rPr>
      </w:pPr>
      <w:r>
        <w:rPr>
          <w:rFonts w:hint="eastAsia" w:ascii="宋体" w:hAnsi="宋体" w:cs="宋体"/>
          <w:kern w:val="0"/>
          <w:szCs w:val="21"/>
        </w:rPr>
        <w:t>5）支持显示课程的课程目标，包括课程的能力数量、子能力数量、覆盖知识点内容等信息。</w:t>
      </w:r>
    </w:p>
    <w:p w14:paraId="51004200">
      <w:pPr>
        <w:spacing w:line="360" w:lineRule="auto"/>
        <w:ind w:firstLine="400"/>
        <w:jc w:val="left"/>
        <w:rPr>
          <w:rFonts w:ascii="宋体" w:hAnsi="宋体" w:cs="宋体"/>
          <w:kern w:val="0"/>
          <w:szCs w:val="21"/>
        </w:rPr>
      </w:pPr>
      <w:r>
        <w:rPr>
          <w:rFonts w:hint="eastAsia" w:ascii="宋体" w:hAnsi="宋体" w:cs="宋体"/>
          <w:kern w:val="0"/>
          <w:szCs w:val="21"/>
        </w:rPr>
        <w:t>6）支持以图片形式展示课程的整体知识结构图，图片支持jpg，png等主流图片格式，并支持通过模板导入的形式编辑知识结构图的相关信息。</w:t>
      </w:r>
    </w:p>
    <w:p w14:paraId="3DBCD908">
      <w:pPr>
        <w:spacing w:line="360" w:lineRule="auto"/>
        <w:ind w:firstLine="400"/>
        <w:jc w:val="left"/>
        <w:rPr>
          <w:rFonts w:ascii="宋体" w:hAnsi="宋体" w:cs="宋体"/>
          <w:kern w:val="0"/>
          <w:szCs w:val="21"/>
        </w:rPr>
      </w:pPr>
      <w:r>
        <w:rPr>
          <w:rFonts w:hint="eastAsia" w:ascii="宋体" w:hAnsi="宋体" w:cs="宋体"/>
          <w:kern w:val="0"/>
          <w:szCs w:val="21"/>
        </w:rPr>
        <w:t>7）支持在课程概述中查看课程概述相关内容，包括教师团队，课程背景，课程简介，课程目标，课程特色，课程知识逻辑，知识结构图，教学计划，课程概述展示等相关内容，同时可支持导入的形式进行新增和维护，导入为增量导入。</w:t>
      </w:r>
    </w:p>
    <w:p w14:paraId="37CB0594">
      <w:pPr>
        <w:spacing w:line="360" w:lineRule="auto"/>
        <w:ind w:firstLine="400"/>
        <w:jc w:val="left"/>
        <w:rPr>
          <w:rFonts w:ascii="宋体" w:hAnsi="宋体" w:cs="宋体"/>
          <w:kern w:val="0"/>
          <w:szCs w:val="21"/>
        </w:rPr>
      </w:pPr>
      <w:r>
        <w:rPr>
          <w:rFonts w:hint="eastAsia" w:ascii="宋体" w:hAnsi="宋体" w:cs="宋体"/>
          <w:kern w:val="0"/>
          <w:szCs w:val="21"/>
        </w:rPr>
        <w:t>8）支持展示课程特色、课程背景、课程简介相关信息，并支持通过导入Excel模板的形式编辑课程相关信息，支持上传500字以上。</w:t>
      </w:r>
    </w:p>
    <w:p w14:paraId="3162FAB4">
      <w:pPr>
        <w:spacing w:line="360" w:lineRule="auto"/>
        <w:ind w:firstLine="400"/>
        <w:jc w:val="left"/>
        <w:rPr>
          <w:rFonts w:ascii="宋体" w:hAnsi="宋体" w:cs="宋体"/>
          <w:kern w:val="0"/>
          <w:szCs w:val="21"/>
        </w:rPr>
      </w:pPr>
      <w:r>
        <w:rPr>
          <w:rFonts w:hint="eastAsia" w:ascii="宋体" w:hAnsi="宋体" w:cs="宋体"/>
          <w:kern w:val="0"/>
          <w:szCs w:val="21"/>
        </w:rPr>
        <w:t>9）在课程建设的全过程中，供应商需配备专业的知识服务顾问提供全程建设服务，由服务顾问根据老师提供或所需的资源清单进行整理搜寻，根据材料进行知识、问题、能力图谱的构建，知识点资源的挂载，课程题目的知识点对应设置，知识点类型标注等所有内容建设，并根据老师的审核意见进行修改，最终交付的课程教师可以直接投入教学运行。为本项目配备的知识服务顾问不少于【10】人，应具有本科或以上学历，（以上人员须提供身份证、学历证明资料、身份证明等）</w:t>
      </w:r>
    </w:p>
    <w:p w14:paraId="358DEB9A">
      <w:pPr>
        <w:spacing w:line="360" w:lineRule="auto"/>
        <w:jc w:val="left"/>
        <w:rPr>
          <w:rFonts w:ascii="宋体" w:hAnsi="宋体" w:cs="宋体"/>
          <w:szCs w:val="21"/>
        </w:rPr>
      </w:pPr>
      <w:r>
        <w:rPr>
          <w:rFonts w:hint="eastAsia" w:ascii="宋体" w:hAnsi="宋体" w:cs="宋体"/>
          <w:szCs w:val="21"/>
        </w:rPr>
        <w:t>3. 课程简介</w:t>
      </w:r>
    </w:p>
    <w:p w14:paraId="5F6DB6C5">
      <w:pPr>
        <w:spacing w:line="360" w:lineRule="auto"/>
        <w:ind w:firstLine="400"/>
        <w:jc w:val="left"/>
        <w:rPr>
          <w:rFonts w:ascii="宋体" w:hAnsi="宋体" w:cs="宋体"/>
          <w:kern w:val="0"/>
          <w:szCs w:val="21"/>
        </w:rPr>
      </w:pPr>
      <w:r>
        <w:rPr>
          <w:rFonts w:hint="eastAsia" w:ascii="宋体" w:hAnsi="宋体" w:cs="宋体"/>
          <w:kern w:val="0"/>
          <w:szCs w:val="21"/>
        </w:rPr>
        <w:t>1）支持通过模板导入的形式生成课程框架，导入模板为XMind格式，在模板中可以插入主题和子主题。</w:t>
      </w:r>
    </w:p>
    <w:p w14:paraId="7E0C3968">
      <w:pPr>
        <w:spacing w:line="360" w:lineRule="auto"/>
        <w:ind w:firstLine="400"/>
        <w:jc w:val="left"/>
        <w:rPr>
          <w:rFonts w:ascii="宋体" w:hAnsi="宋体" w:cs="宋体"/>
          <w:kern w:val="0"/>
          <w:szCs w:val="21"/>
        </w:rPr>
      </w:pPr>
      <w:r>
        <w:rPr>
          <w:rFonts w:hint="eastAsia" w:ascii="宋体" w:hAnsi="宋体" w:cs="宋体"/>
          <w:kern w:val="0"/>
          <w:szCs w:val="21"/>
        </w:rPr>
        <w:t>2）支持通过word模板导入将课程结构导入到课程中，内容包含文字与图片。</w:t>
      </w:r>
    </w:p>
    <w:p w14:paraId="091609B4">
      <w:pPr>
        <w:spacing w:line="360" w:lineRule="auto"/>
        <w:ind w:firstLine="400"/>
        <w:jc w:val="left"/>
        <w:rPr>
          <w:rFonts w:ascii="宋体" w:hAnsi="宋体" w:cs="宋体"/>
          <w:kern w:val="0"/>
          <w:szCs w:val="21"/>
        </w:rPr>
      </w:pPr>
      <w:r>
        <w:rPr>
          <w:rFonts w:hint="eastAsia" w:ascii="宋体" w:hAnsi="宋体" w:cs="宋体"/>
          <w:kern w:val="0"/>
          <w:szCs w:val="21"/>
        </w:rPr>
        <w:t>3）支持展示本课程知识图谱中的课程框架内容，包含课程主题名称、教学内容、教学重点、教学难点等信息，帮助更好地了解本门课程知识图谱的框架。</w:t>
      </w:r>
    </w:p>
    <w:p w14:paraId="5FD3E7ED">
      <w:pPr>
        <w:spacing w:line="360" w:lineRule="auto"/>
        <w:ind w:firstLine="400"/>
        <w:jc w:val="left"/>
        <w:rPr>
          <w:rFonts w:ascii="宋体" w:hAnsi="宋体" w:cs="宋体"/>
          <w:kern w:val="0"/>
          <w:szCs w:val="21"/>
        </w:rPr>
      </w:pPr>
      <w:r>
        <w:rPr>
          <w:rFonts w:hint="eastAsia" w:ascii="宋体" w:hAnsi="宋体" w:cs="宋体"/>
          <w:kern w:val="0"/>
          <w:szCs w:val="21"/>
        </w:rPr>
        <w:t>4）支持通过word模板导入课程框架内容，导入内容支持1000字，同时支持上传图片，图片文件类型包含jpg、png等。</w:t>
      </w:r>
    </w:p>
    <w:p w14:paraId="544F3452">
      <w:pPr>
        <w:spacing w:line="360" w:lineRule="auto"/>
        <w:ind w:firstLine="400"/>
        <w:jc w:val="left"/>
        <w:rPr>
          <w:rFonts w:ascii="宋体" w:hAnsi="宋体" w:cs="宋体"/>
          <w:kern w:val="0"/>
          <w:szCs w:val="21"/>
        </w:rPr>
      </w:pPr>
      <w:r>
        <w:rPr>
          <w:rFonts w:hint="eastAsia" w:ascii="宋体" w:hAnsi="宋体" w:cs="宋体"/>
          <w:kern w:val="0"/>
          <w:szCs w:val="21"/>
        </w:rPr>
        <w:t>5）支持展示课程的教学计划，包括主题名称及学时，以及课程学分及学时，并支持通过模板导入的形式编辑课程背景相关信息。</w:t>
      </w:r>
    </w:p>
    <w:p w14:paraId="6875D7E1">
      <w:pPr>
        <w:spacing w:line="360" w:lineRule="auto"/>
        <w:jc w:val="left"/>
        <w:rPr>
          <w:rFonts w:ascii="宋体" w:hAnsi="宋体" w:cs="宋体"/>
          <w:szCs w:val="21"/>
        </w:rPr>
      </w:pPr>
      <w:r>
        <w:rPr>
          <w:rFonts w:hint="eastAsia" w:ascii="宋体" w:hAnsi="宋体" w:cs="宋体"/>
          <w:szCs w:val="21"/>
        </w:rPr>
        <w:t>4. 能力图谱</w:t>
      </w:r>
    </w:p>
    <w:p w14:paraId="73B817D3">
      <w:pPr>
        <w:spacing w:line="360" w:lineRule="auto"/>
        <w:ind w:firstLine="400"/>
        <w:jc w:val="left"/>
        <w:rPr>
          <w:rFonts w:ascii="宋体" w:hAnsi="宋体" w:cs="宋体"/>
          <w:kern w:val="0"/>
          <w:szCs w:val="21"/>
        </w:rPr>
      </w:pPr>
      <w:r>
        <w:rPr>
          <w:rFonts w:hint="eastAsia" w:ascii="宋体" w:hAnsi="宋体" w:cs="宋体"/>
          <w:kern w:val="0"/>
          <w:szCs w:val="21"/>
        </w:rPr>
        <w:t>1）支持设置课程能力目标，课程能力目标包含课程目标描述、课程目标拆解、课程目标详情。其中课程目标拆解课设置主能力目标、子能力目标、关联知识点、覆盖问题等，并通过系统统计每个能力目标的知识点覆盖率等，同时在一门课程中能力目标课数量设置不设上限，可根据实际使用需要设置多个主目标与子目标。</w:t>
      </w:r>
    </w:p>
    <w:p w14:paraId="530F2BB0">
      <w:pPr>
        <w:spacing w:line="360" w:lineRule="auto"/>
        <w:ind w:firstLine="400"/>
        <w:jc w:val="left"/>
        <w:rPr>
          <w:rFonts w:ascii="宋体" w:hAnsi="宋体" w:cs="宋体"/>
          <w:kern w:val="0"/>
          <w:szCs w:val="21"/>
        </w:rPr>
      </w:pPr>
      <w:r>
        <w:rPr>
          <w:rFonts w:hint="eastAsia" w:ascii="宋体" w:hAnsi="宋体" w:cs="宋体"/>
          <w:kern w:val="0"/>
          <w:szCs w:val="21"/>
        </w:rPr>
        <w:t>2）支持编辑课程能力目标，设置能力目标时，可针对能力目标的名称、描述、子能力目标名称、子能力目标描述，支持添加关联问题与知识点。</w:t>
      </w:r>
    </w:p>
    <w:p w14:paraId="1A32FADC">
      <w:pPr>
        <w:spacing w:line="360" w:lineRule="auto"/>
        <w:ind w:firstLine="400"/>
        <w:jc w:val="left"/>
        <w:rPr>
          <w:rFonts w:ascii="宋体" w:hAnsi="宋体" w:cs="宋体"/>
          <w:kern w:val="0"/>
          <w:szCs w:val="21"/>
        </w:rPr>
      </w:pPr>
      <w:r>
        <w:rPr>
          <w:rFonts w:hint="eastAsia" w:ascii="宋体" w:hAnsi="宋体" w:cs="宋体"/>
          <w:kern w:val="0"/>
          <w:szCs w:val="21"/>
        </w:rPr>
        <w:t>3）支持对能力和下属子能力进行分类标记，划分为知识、技能、素养3个维度，支持统计每个维度下子能力、知识点和问题的数量，主能力支持与毕业要求关联。</w:t>
      </w:r>
    </w:p>
    <w:p w14:paraId="3C1466EC">
      <w:pPr>
        <w:spacing w:line="360" w:lineRule="auto"/>
        <w:ind w:firstLine="400"/>
        <w:jc w:val="left"/>
        <w:rPr>
          <w:rFonts w:ascii="宋体" w:hAnsi="宋体" w:cs="宋体"/>
          <w:kern w:val="0"/>
          <w:szCs w:val="21"/>
          <w:highlight w:val="cyan"/>
        </w:rPr>
      </w:pPr>
      <w:r>
        <w:rPr>
          <w:rFonts w:hint="eastAsia" w:ascii="宋体" w:hAnsi="宋体" w:cs="宋体"/>
          <w:kern w:val="0"/>
          <w:szCs w:val="21"/>
        </w:rPr>
        <w:t>4）支持同一课程分层教学（新建不同版本，选择不同知识/问题/能力/考核点，设置各版本运行时间，导入不同学生名单，生成差异化智能体与AI指令库。生成好的版本支持能力达成度自定义权重及能力达成度测算：根据所设置的课程能力目标，自动计算每个能力/子能力所覆盖的知识模块、知识点与问题详情。可通过能力详情，预览关联的知识体系、问题体系、问题详情等，并根据学生/班级能力达成度分析。</w:t>
      </w:r>
    </w:p>
    <w:p w14:paraId="422D106C">
      <w:pPr>
        <w:spacing w:line="360" w:lineRule="auto"/>
        <w:jc w:val="left"/>
        <w:rPr>
          <w:rFonts w:ascii="宋体" w:hAnsi="宋体" w:cs="宋体"/>
          <w:szCs w:val="21"/>
        </w:rPr>
      </w:pPr>
      <w:r>
        <w:rPr>
          <w:rFonts w:hint="eastAsia" w:ascii="宋体" w:hAnsi="宋体" w:cs="宋体"/>
          <w:szCs w:val="21"/>
        </w:rPr>
        <w:t>5. 问题图谱</w:t>
      </w:r>
    </w:p>
    <w:p w14:paraId="54EA0CB7">
      <w:pPr>
        <w:spacing w:line="360" w:lineRule="auto"/>
        <w:ind w:firstLine="400"/>
        <w:jc w:val="left"/>
        <w:rPr>
          <w:rFonts w:ascii="宋体" w:hAnsi="宋体" w:cs="宋体"/>
          <w:kern w:val="0"/>
          <w:szCs w:val="21"/>
        </w:rPr>
      </w:pPr>
      <w:r>
        <w:rPr>
          <w:rFonts w:hint="eastAsia" w:ascii="宋体" w:hAnsi="宋体" w:cs="宋体"/>
          <w:kern w:val="0"/>
          <w:szCs w:val="21"/>
        </w:rPr>
        <w:t>1）支持问题图谱学习：支持以问题为导向的学习，通过“全局层问题——概念层问题——方法层问题”三层问题模型结构，查看解决课程经典问题所需要掌握的知识点。</w:t>
      </w:r>
    </w:p>
    <w:p w14:paraId="572A1FD2">
      <w:pPr>
        <w:spacing w:line="360" w:lineRule="auto"/>
        <w:ind w:firstLine="400"/>
        <w:jc w:val="left"/>
        <w:rPr>
          <w:rFonts w:ascii="宋体" w:hAnsi="宋体" w:cs="宋体"/>
          <w:kern w:val="0"/>
          <w:szCs w:val="21"/>
        </w:rPr>
      </w:pPr>
      <w:r>
        <w:rPr>
          <w:rFonts w:hint="eastAsia" w:ascii="宋体" w:hAnsi="宋体" w:cs="宋体"/>
          <w:kern w:val="0"/>
          <w:szCs w:val="21"/>
        </w:rPr>
        <w:t>2）支持查看问题图谱单点内容时，高亮与该内容相关上下层图谱内容，并动态链路展示相关关系。</w:t>
      </w:r>
    </w:p>
    <w:p w14:paraId="4D642D40">
      <w:pPr>
        <w:spacing w:line="360" w:lineRule="auto"/>
        <w:jc w:val="left"/>
        <w:rPr>
          <w:rFonts w:ascii="宋体" w:hAnsi="宋体" w:cs="宋体"/>
          <w:szCs w:val="21"/>
        </w:rPr>
      </w:pPr>
      <w:r>
        <w:rPr>
          <w:rFonts w:hint="eastAsia" w:ascii="宋体" w:hAnsi="宋体" w:cs="宋体"/>
          <w:szCs w:val="21"/>
        </w:rPr>
        <w:t>6. 知识图谱与模块</w:t>
      </w:r>
    </w:p>
    <w:p w14:paraId="078B1EEC">
      <w:pPr>
        <w:spacing w:line="360" w:lineRule="auto"/>
        <w:ind w:firstLine="400"/>
        <w:jc w:val="left"/>
        <w:rPr>
          <w:rFonts w:ascii="宋体" w:hAnsi="宋体" w:cs="宋体"/>
          <w:kern w:val="0"/>
          <w:szCs w:val="21"/>
        </w:rPr>
      </w:pPr>
      <w:r>
        <w:rPr>
          <w:rFonts w:hint="eastAsia" w:ascii="宋体" w:hAnsi="宋体" w:cs="宋体"/>
          <w:kern w:val="0"/>
          <w:szCs w:val="21"/>
        </w:rPr>
        <w:t>1）支持通过点击已有节点添加节点，可以添加同级节点、子节点，支持通过在知识地图针对已有节点进行删除。</w:t>
      </w:r>
    </w:p>
    <w:p w14:paraId="2B16BBAF">
      <w:pPr>
        <w:spacing w:line="360" w:lineRule="auto"/>
        <w:ind w:firstLine="400"/>
        <w:jc w:val="left"/>
        <w:rPr>
          <w:rFonts w:ascii="宋体" w:hAnsi="宋体" w:cs="宋体"/>
          <w:kern w:val="0"/>
          <w:szCs w:val="21"/>
        </w:rPr>
      </w:pPr>
      <w:r>
        <w:rPr>
          <w:rFonts w:hint="eastAsia" w:ascii="宋体" w:hAnsi="宋体" w:cs="宋体"/>
          <w:kern w:val="0"/>
          <w:szCs w:val="21"/>
        </w:rPr>
        <w:t>2）支持通过导入word的形式，导入知识地图节点相关信息，可导入的内容包括：名称、标签、难度、描述。</w:t>
      </w:r>
    </w:p>
    <w:p w14:paraId="79B517F5">
      <w:pPr>
        <w:spacing w:line="360" w:lineRule="auto"/>
        <w:ind w:firstLine="400"/>
        <w:jc w:val="left"/>
        <w:rPr>
          <w:rFonts w:ascii="宋体" w:hAnsi="宋体" w:cs="宋体"/>
          <w:kern w:val="0"/>
          <w:szCs w:val="21"/>
        </w:rPr>
      </w:pPr>
      <w:r>
        <w:rPr>
          <w:rFonts w:hint="eastAsia" w:ascii="宋体" w:hAnsi="宋体" w:cs="宋体"/>
          <w:kern w:val="0"/>
          <w:szCs w:val="21"/>
        </w:rPr>
        <w:t>3）支持通过导入的形式导入知识地图的节点信息，包括节点名称和节点标签，知识地图上各个节点的名称导入格式为XMind，文件大小支持1G以上，节点数量支持10000以上。</w:t>
      </w:r>
    </w:p>
    <w:p w14:paraId="12B74984">
      <w:pPr>
        <w:spacing w:line="360" w:lineRule="auto"/>
        <w:ind w:firstLine="400"/>
        <w:jc w:val="left"/>
        <w:rPr>
          <w:rFonts w:ascii="宋体" w:hAnsi="宋体" w:cs="宋体"/>
          <w:kern w:val="0"/>
          <w:szCs w:val="21"/>
        </w:rPr>
      </w:pPr>
      <w:r>
        <w:rPr>
          <w:rFonts w:hint="eastAsia" w:ascii="宋体" w:hAnsi="宋体" w:cs="宋体"/>
          <w:kern w:val="0"/>
          <w:szCs w:val="21"/>
        </w:rPr>
        <w:t>4）支持通过点击导出课程地图按钮，导出XMind的形式导入现有知识架构。</w:t>
      </w:r>
    </w:p>
    <w:p w14:paraId="55C8D619">
      <w:pPr>
        <w:spacing w:line="360" w:lineRule="auto"/>
        <w:ind w:firstLine="400"/>
        <w:jc w:val="left"/>
        <w:rPr>
          <w:rFonts w:ascii="宋体" w:hAnsi="宋体" w:cs="宋体"/>
          <w:kern w:val="0"/>
          <w:szCs w:val="21"/>
        </w:rPr>
      </w:pPr>
      <w:r>
        <w:rPr>
          <w:rFonts w:hint="eastAsia" w:ascii="宋体" w:hAnsi="宋体" w:cs="宋体"/>
          <w:kern w:val="0"/>
          <w:szCs w:val="21"/>
        </w:rPr>
        <w:t>5）支持通过精准搜索的形式搜索在当前知识地图下的所有知识以及属性名称。</w:t>
      </w:r>
    </w:p>
    <w:p w14:paraId="3206EE00">
      <w:pPr>
        <w:spacing w:line="360" w:lineRule="auto"/>
        <w:ind w:firstLine="400"/>
        <w:jc w:val="left"/>
        <w:rPr>
          <w:rFonts w:ascii="宋体" w:hAnsi="宋体" w:cs="宋体"/>
          <w:kern w:val="0"/>
          <w:szCs w:val="21"/>
        </w:rPr>
      </w:pPr>
      <w:r>
        <w:rPr>
          <w:rFonts w:hint="eastAsia" w:ascii="宋体" w:hAnsi="宋体" w:cs="宋体"/>
          <w:kern w:val="0"/>
          <w:szCs w:val="21"/>
        </w:rPr>
        <w:t>6）支持从知识图谱资源包选择具体的内容片段快速建立知识点，自动生成知识点名称，比如从资源包选择已有多门MOOC的章节名称、多本电子书本的目录片段和书本内结构化自动识别的概念集片段等自动创建知识点。</w:t>
      </w:r>
    </w:p>
    <w:p w14:paraId="4B4B038E">
      <w:pPr>
        <w:spacing w:line="360" w:lineRule="auto"/>
        <w:ind w:firstLine="400"/>
        <w:jc w:val="left"/>
        <w:rPr>
          <w:rFonts w:ascii="宋体" w:hAnsi="宋体" w:cs="宋体"/>
          <w:kern w:val="0"/>
          <w:szCs w:val="21"/>
        </w:rPr>
      </w:pPr>
      <w:r>
        <w:rPr>
          <w:rFonts w:hint="eastAsia" w:ascii="宋体" w:hAnsi="宋体" w:cs="宋体"/>
          <w:kern w:val="0"/>
          <w:szCs w:val="21"/>
        </w:rPr>
        <w:t>7）支持在知识地图展示界面上查看当前知识地图全部内容，同时支持对知识地图进行放大，缩小，定位到课程，展开/收缩节点，全屏显示。</w:t>
      </w:r>
    </w:p>
    <w:p w14:paraId="65035EFE">
      <w:pPr>
        <w:spacing w:line="360" w:lineRule="auto"/>
        <w:ind w:firstLine="400"/>
        <w:jc w:val="left"/>
        <w:rPr>
          <w:rFonts w:ascii="宋体" w:hAnsi="宋体" w:cs="宋体"/>
          <w:kern w:val="0"/>
          <w:szCs w:val="21"/>
        </w:rPr>
      </w:pPr>
      <w:r>
        <w:rPr>
          <w:rFonts w:hint="eastAsia" w:ascii="宋体" w:hAnsi="宋体" w:cs="宋体"/>
          <w:kern w:val="0"/>
          <w:szCs w:val="21"/>
        </w:rPr>
        <w:t>8）支持查看知识地图详情页，在知识地图上点击右键可以对知识地图上的节点进行编辑资源，同时支持在知识地图的节点上设置标签。</w:t>
      </w:r>
    </w:p>
    <w:p w14:paraId="71431B1E">
      <w:pPr>
        <w:spacing w:line="360" w:lineRule="auto"/>
        <w:ind w:firstLine="400"/>
        <w:jc w:val="left"/>
        <w:rPr>
          <w:rFonts w:ascii="宋体" w:hAnsi="宋体" w:cs="宋体"/>
          <w:kern w:val="0"/>
          <w:szCs w:val="21"/>
        </w:rPr>
      </w:pPr>
      <w:r>
        <w:rPr>
          <w:rFonts w:hint="eastAsia" w:ascii="宋体" w:hAnsi="宋体" w:cs="宋体"/>
          <w:kern w:val="0"/>
          <w:szCs w:val="21"/>
        </w:rPr>
        <w:t>9）支持统计课程内全部知识节点数量，资源总数量，测试题目数量，并以列表形式呈现结果。</w:t>
      </w:r>
    </w:p>
    <w:p w14:paraId="0099E0DF">
      <w:pPr>
        <w:spacing w:line="360" w:lineRule="auto"/>
        <w:ind w:firstLine="400"/>
        <w:jc w:val="left"/>
        <w:rPr>
          <w:rFonts w:ascii="宋体" w:hAnsi="宋体" w:cs="宋体"/>
          <w:kern w:val="0"/>
          <w:szCs w:val="21"/>
        </w:rPr>
      </w:pPr>
      <w:r>
        <w:rPr>
          <w:rFonts w:hint="eastAsia" w:ascii="宋体" w:hAnsi="宋体" w:cs="宋体"/>
          <w:kern w:val="0"/>
          <w:szCs w:val="21"/>
        </w:rPr>
        <w:t>10）支持提供足够的慕课资源进行引用，课程资源提供总量在10000门以上。</w:t>
      </w:r>
    </w:p>
    <w:p w14:paraId="387C7C39">
      <w:pPr>
        <w:spacing w:line="360" w:lineRule="auto"/>
        <w:ind w:firstLine="400"/>
        <w:jc w:val="left"/>
        <w:rPr>
          <w:rFonts w:ascii="宋体" w:hAnsi="宋体" w:cs="宋体"/>
          <w:kern w:val="0"/>
          <w:szCs w:val="21"/>
        </w:rPr>
      </w:pPr>
      <w:r>
        <w:rPr>
          <w:rFonts w:hint="eastAsia" w:ascii="宋体" w:hAnsi="宋体" w:cs="宋体"/>
          <w:kern w:val="0"/>
          <w:szCs w:val="21"/>
        </w:rPr>
        <w:t>11）支持本地上传资源完成课程资源补充，上传资源类型包括pdf,ppt,mp4,doc,jpg,jpeg等常用文件格式。</w:t>
      </w:r>
    </w:p>
    <w:p w14:paraId="024C4CA9">
      <w:pPr>
        <w:spacing w:line="360" w:lineRule="auto"/>
        <w:ind w:firstLine="400"/>
        <w:jc w:val="left"/>
        <w:rPr>
          <w:rFonts w:ascii="宋体" w:hAnsi="宋体" w:cs="宋体"/>
          <w:kern w:val="0"/>
          <w:szCs w:val="21"/>
        </w:rPr>
      </w:pPr>
      <w:r>
        <w:rPr>
          <w:rFonts w:hint="eastAsia" w:ascii="宋体" w:hAnsi="宋体" w:cs="宋体"/>
          <w:kern w:val="0"/>
          <w:szCs w:val="21"/>
        </w:rPr>
        <w:t>12）引用过程中支持资源预览，引用完成后，支持查看和删除资源。</w:t>
      </w:r>
    </w:p>
    <w:p w14:paraId="047FD043">
      <w:pPr>
        <w:spacing w:line="360" w:lineRule="auto"/>
        <w:ind w:firstLine="400"/>
        <w:jc w:val="left"/>
        <w:rPr>
          <w:rFonts w:ascii="宋体" w:hAnsi="宋体" w:cs="宋体"/>
          <w:kern w:val="0"/>
          <w:szCs w:val="21"/>
        </w:rPr>
      </w:pPr>
      <w:r>
        <w:rPr>
          <w:rFonts w:hint="eastAsia" w:ascii="宋体" w:hAnsi="宋体" w:cs="宋体"/>
          <w:kern w:val="0"/>
          <w:szCs w:val="21"/>
        </w:rPr>
        <w:t>13）支持在统计资源总数的基础上，进一步统计引用课程总数，引用教材总数和本地上传资源总数，并以列表形式呈现结果。</w:t>
      </w:r>
    </w:p>
    <w:p w14:paraId="44EB78E5">
      <w:pPr>
        <w:spacing w:line="360" w:lineRule="auto"/>
        <w:ind w:firstLine="400"/>
        <w:jc w:val="left"/>
        <w:rPr>
          <w:rFonts w:ascii="宋体" w:hAnsi="宋体" w:cs="宋体"/>
          <w:kern w:val="0"/>
          <w:szCs w:val="21"/>
        </w:rPr>
      </w:pPr>
      <w:r>
        <w:rPr>
          <w:rFonts w:hint="eastAsia" w:ascii="宋体" w:hAnsi="宋体" w:cs="宋体"/>
          <w:kern w:val="0"/>
          <w:szCs w:val="21"/>
        </w:rPr>
        <w:t>14）支持统计单个知识点上的资源挂载数量，题目挂载数量，支持验证每个知识点的描述是否填充完整。</w:t>
      </w:r>
    </w:p>
    <w:p w14:paraId="32C81503">
      <w:pPr>
        <w:spacing w:line="360" w:lineRule="auto"/>
        <w:ind w:firstLine="400"/>
        <w:jc w:val="left"/>
        <w:rPr>
          <w:rFonts w:ascii="宋体" w:hAnsi="宋体" w:cs="宋体"/>
          <w:kern w:val="0"/>
          <w:szCs w:val="21"/>
        </w:rPr>
      </w:pPr>
      <w:r>
        <w:rPr>
          <w:rFonts w:hint="eastAsia" w:ascii="宋体" w:hAnsi="宋体" w:cs="宋体"/>
          <w:kern w:val="0"/>
          <w:szCs w:val="21"/>
        </w:rPr>
        <w:t>15）支持基于知识点基本信息的统计，计算知识点填充完成度，并以0%到100%的维度呈现。</w:t>
      </w:r>
    </w:p>
    <w:p w14:paraId="108D30BE">
      <w:pPr>
        <w:spacing w:line="360" w:lineRule="auto"/>
        <w:ind w:firstLine="400"/>
        <w:jc w:val="left"/>
        <w:rPr>
          <w:rFonts w:ascii="宋体" w:hAnsi="宋体" w:cs="宋体"/>
          <w:kern w:val="0"/>
          <w:szCs w:val="21"/>
        </w:rPr>
      </w:pPr>
      <w:r>
        <w:rPr>
          <w:rFonts w:hint="eastAsia" w:ascii="宋体" w:hAnsi="宋体" w:cs="宋体"/>
          <w:kern w:val="0"/>
          <w:szCs w:val="21"/>
        </w:rPr>
        <w:t>16）支持根据知识点名称搜索知识点，支持基于知识点类别筛选知识点。</w:t>
      </w:r>
    </w:p>
    <w:p w14:paraId="0B9F63BD">
      <w:pPr>
        <w:spacing w:line="360" w:lineRule="auto"/>
        <w:ind w:firstLine="400"/>
        <w:jc w:val="left"/>
        <w:rPr>
          <w:rFonts w:ascii="宋体" w:hAnsi="宋体" w:cs="宋体"/>
          <w:kern w:val="0"/>
          <w:szCs w:val="21"/>
        </w:rPr>
      </w:pPr>
      <w:r>
        <w:rPr>
          <w:rFonts w:hint="eastAsia" w:ascii="宋体" w:hAnsi="宋体" w:cs="宋体"/>
          <w:kern w:val="0"/>
          <w:szCs w:val="21"/>
        </w:rPr>
        <w:t>17）支持自动生成知识点描述，描述需来源于大模型生成式人工智能提供的描述，描述字数应不少于20字。</w:t>
      </w:r>
    </w:p>
    <w:p w14:paraId="77C197C2">
      <w:pPr>
        <w:spacing w:line="360" w:lineRule="auto"/>
        <w:jc w:val="left"/>
        <w:rPr>
          <w:rFonts w:ascii="宋体" w:hAnsi="宋体" w:cs="宋体"/>
          <w:szCs w:val="21"/>
        </w:rPr>
      </w:pPr>
      <w:r>
        <w:rPr>
          <w:rFonts w:hint="eastAsia" w:ascii="宋体" w:hAnsi="宋体" w:cs="宋体"/>
          <w:szCs w:val="21"/>
        </w:rPr>
        <w:t>7. 知识图谱编辑</w:t>
      </w:r>
    </w:p>
    <w:p w14:paraId="74C60241">
      <w:pPr>
        <w:spacing w:line="360" w:lineRule="auto"/>
        <w:ind w:firstLine="400"/>
        <w:jc w:val="left"/>
        <w:rPr>
          <w:rFonts w:ascii="宋体" w:hAnsi="宋体" w:cs="宋体"/>
          <w:kern w:val="0"/>
          <w:szCs w:val="21"/>
        </w:rPr>
      </w:pPr>
      <w:r>
        <w:rPr>
          <w:rFonts w:hint="eastAsia" w:ascii="宋体" w:hAnsi="宋体" w:cs="宋体"/>
          <w:kern w:val="0"/>
          <w:szCs w:val="21"/>
        </w:rPr>
        <w:t>1）支持编辑知识点名称及别名，知识点名称字数上限不少于30字。</w:t>
      </w:r>
    </w:p>
    <w:p w14:paraId="13F95949">
      <w:pPr>
        <w:spacing w:line="360" w:lineRule="auto"/>
        <w:ind w:firstLine="400"/>
        <w:jc w:val="left"/>
        <w:rPr>
          <w:rFonts w:ascii="宋体" w:hAnsi="宋体" w:cs="宋体"/>
          <w:kern w:val="0"/>
          <w:szCs w:val="21"/>
        </w:rPr>
      </w:pPr>
      <w:r>
        <w:rPr>
          <w:rFonts w:hint="eastAsia" w:ascii="宋体" w:hAnsi="宋体" w:cs="宋体"/>
          <w:kern w:val="0"/>
          <w:szCs w:val="21"/>
        </w:rPr>
        <w:t>2）支持设置知识点难度标签，难度应至少分为简单，一般，困难三档。</w:t>
      </w:r>
    </w:p>
    <w:p w14:paraId="4D10A23D">
      <w:pPr>
        <w:spacing w:line="360" w:lineRule="auto"/>
        <w:ind w:firstLine="400"/>
        <w:jc w:val="left"/>
        <w:rPr>
          <w:rFonts w:ascii="宋体" w:hAnsi="宋体" w:cs="宋体"/>
          <w:kern w:val="0"/>
          <w:szCs w:val="21"/>
        </w:rPr>
      </w:pPr>
      <w:r>
        <w:rPr>
          <w:rFonts w:hint="eastAsia" w:ascii="宋体" w:hAnsi="宋体" w:cs="宋体"/>
          <w:kern w:val="0"/>
          <w:szCs w:val="21"/>
        </w:rPr>
        <w:t>3）支持设置知识点认知目标标签，应至少支持设置记忆，理解，应用，分析，评价，创造六级认知目标，并在此基础上自定义填写具体认知目标内容，自定义填写字数上限不少于30字。</w:t>
      </w:r>
    </w:p>
    <w:p w14:paraId="0CFB9CB3">
      <w:pPr>
        <w:spacing w:line="360" w:lineRule="auto"/>
        <w:ind w:firstLine="400"/>
        <w:jc w:val="left"/>
        <w:rPr>
          <w:rFonts w:ascii="宋体" w:hAnsi="宋体" w:cs="宋体"/>
          <w:kern w:val="0"/>
          <w:szCs w:val="21"/>
        </w:rPr>
      </w:pPr>
      <w:r>
        <w:rPr>
          <w:rFonts w:hint="eastAsia" w:ascii="宋体" w:hAnsi="宋体" w:cs="宋体"/>
          <w:kern w:val="0"/>
          <w:szCs w:val="21"/>
        </w:rPr>
        <w:t>4）支持编辑知识点描述，支持富文本编辑，包括调整字体颜色，字号，字体底色，插入项目符号；支持插入网页链接，支持利用latex数学公式编辑器插入公式。</w:t>
      </w:r>
    </w:p>
    <w:p w14:paraId="37A4D402">
      <w:pPr>
        <w:spacing w:line="360" w:lineRule="auto"/>
        <w:ind w:firstLine="400"/>
        <w:jc w:val="left"/>
        <w:rPr>
          <w:rFonts w:ascii="宋体" w:hAnsi="宋体" w:cs="宋体"/>
          <w:kern w:val="0"/>
          <w:szCs w:val="21"/>
        </w:rPr>
      </w:pPr>
      <w:r>
        <w:rPr>
          <w:rFonts w:hint="eastAsia" w:ascii="宋体" w:hAnsi="宋体" w:cs="宋体"/>
          <w:kern w:val="0"/>
          <w:szCs w:val="21"/>
        </w:rPr>
        <w:t>5）支持在系统中设置知识图谱相关字号大小，包含第一层主题字号、主题字号、子主题字号、知识点字号、属性字号，设置完成后，知识图谱展示系统随设置字体大小进行显示。</w:t>
      </w:r>
    </w:p>
    <w:p w14:paraId="03352DFA">
      <w:pPr>
        <w:spacing w:line="360" w:lineRule="auto"/>
        <w:ind w:firstLine="400"/>
        <w:jc w:val="left"/>
        <w:rPr>
          <w:rFonts w:ascii="宋体" w:hAnsi="宋体" w:cs="宋体"/>
          <w:kern w:val="0"/>
          <w:szCs w:val="21"/>
        </w:rPr>
      </w:pPr>
      <w:r>
        <w:rPr>
          <w:rFonts w:hint="eastAsia" w:ascii="宋体" w:hAnsi="宋体" w:cs="宋体"/>
          <w:kern w:val="0"/>
          <w:szCs w:val="21"/>
        </w:rPr>
        <w:t>6）支持在知识点描述的基础上，自由划选关键词并插入补充词条，关键词限制字数上限不少于10字，补充词条应包括词条标题，词条别名，词条内容，词条内容字数上限不少于100字。</w:t>
      </w:r>
    </w:p>
    <w:p w14:paraId="6E207A15">
      <w:pPr>
        <w:spacing w:line="360" w:lineRule="auto"/>
        <w:ind w:firstLine="400"/>
        <w:jc w:val="left"/>
        <w:rPr>
          <w:rFonts w:ascii="宋体" w:hAnsi="宋体" w:cs="宋体"/>
          <w:kern w:val="0"/>
          <w:szCs w:val="21"/>
        </w:rPr>
      </w:pPr>
      <w:r>
        <w:rPr>
          <w:rFonts w:hint="eastAsia" w:ascii="宋体" w:hAnsi="宋体" w:cs="宋体"/>
          <w:kern w:val="0"/>
          <w:szCs w:val="21"/>
        </w:rPr>
        <w:t>7）补充词条内容需来源于该知识点在课程所选教材中的描述，或是该关键词在百科中的描述，描述字数上限不少于20字，结果以文字形式呈现。</w:t>
      </w:r>
    </w:p>
    <w:p w14:paraId="670D7861">
      <w:pPr>
        <w:spacing w:line="360" w:lineRule="auto"/>
        <w:ind w:firstLine="400"/>
        <w:jc w:val="left"/>
        <w:rPr>
          <w:rFonts w:ascii="宋体" w:hAnsi="宋体" w:cs="宋体"/>
          <w:kern w:val="0"/>
          <w:szCs w:val="21"/>
        </w:rPr>
      </w:pPr>
      <w:r>
        <w:rPr>
          <w:rFonts w:hint="eastAsia" w:ascii="宋体" w:hAnsi="宋体" w:cs="宋体"/>
          <w:kern w:val="0"/>
          <w:szCs w:val="21"/>
        </w:rPr>
        <w:t>8）支持在知识点中挂载资源，资源支持本地上传，格式包括jpg,txt,doc,ppt,mp4,pdf,rar等常见文件格式。</w:t>
      </w:r>
    </w:p>
    <w:p w14:paraId="03CB956C">
      <w:pPr>
        <w:spacing w:line="360" w:lineRule="auto"/>
        <w:ind w:firstLine="400"/>
        <w:jc w:val="left"/>
        <w:rPr>
          <w:rFonts w:ascii="宋体" w:hAnsi="宋体" w:cs="宋体"/>
          <w:kern w:val="0"/>
          <w:szCs w:val="21"/>
        </w:rPr>
      </w:pPr>
      <w:r>
        <w:rPr>
          <w:rFonts w:hint="eastAsia" w:ascii="宋体" w:hAnsi="宋体" w:cs="宋体"/>
          <w:kern w:val="0"/>
          <w:szCs w:val="21"/>
        </w:rPr>
        <w:t>9）支持根据标题和全文内容搜索本地上传的学习资源，支持根据标题和全文内容进行本地上传的学习资源推荐。</w:t>
      </w:r>
    </w:p>
    <w:p w14:paraId="4D916820">
      <w:pPr>
        <w:spacing w:line="360" w:lineRule="auto"/>
        <w:ind w:firstLine="400"/>
        <w:jc w:val="left"/>
        <w:rPr>
          <w:rFonts w:ascii="宋体" w:hAnsi="宋体" w:cs="宋体"/>
          <w:kern w:val="0"/>
          <w:szCs w:val="21"/>
        </w:rPr>
      </w:pPr>
      <w:r>
        <w:rPr>
          <w:rFonts w:hint="eastAsia" w:ascii="宋体" w:hAnsi="宋体" w:cs="宋体"/>
          <w:kern w:val="0"/>
          <w:szCs w:val="21"/>
        </w:rPr>
        <w:t>10）除本地上传的资源外，平台应提供至少5000门慕课资源，10000本教材资源，以及从互联网上收集的网页资源，网页资源渠道应至少包括中国知网、知乎、哔哩哔哩弹幕视频网等。</w:t>
      </w:r>
    </w:p>
    <w:p w14:paraId="4CD6DF6F">
      <w:pPr>
        <w:spacing w:line="360" w:lineRule="auto"/>
        <w:ind w:firstLine="400"/>
        <w:jc w:val="left"/>
        <w:rPr>
          <w:rFonts w:ascii="宋体" w:hAnsi="宋体" w:cs="宋体"/>
          <w:kern w:val="0"/>
          <w:szCs w:val="21"/>
        </w:rPr>
      </w:pPr>
      <w:r>
        <w:rPr>
          <w:rFonts w:hint="eastAsia" w:ascii="宋体" w:hAnsi="宋体" w:cs="宋体"/>
          <w:kern w:val="0"/>
          <w:szCs w:val="21"/>
        </w:rPr>
        <w:t>11）支持在知识点上挂载题目，所有题目应来源于题库，且单个知识点题目限制最高挂载数量上限不少于10道。</w:t>
      </w:r>
    </w:p>
    <w:p w14:paraId="7682ED2A">
      <w:pPr>
        <w:spacing w:line="360" w:lineRule="auto"/>
        <w:ind w:firstLine="400"/>
        <w:jc w:val="left"/>
        <w:rPr>
          <w:rFonts w:ascii="宋体" w:hAnsi="宋体" w:cs="宋体"/>
          <w:kern w:val="0"/>
          <w:szCs w:val="21"/>
        </w:rPr>
      </w:pPr>
      <w:r>
        <w:rPr>
          <w:rFonts w:hint="eastAsia" w:ascii="宋体" w:hAnsi="宋体" w:cs="宋体"/>
          <w:kern w:val="0"/>
          <w:szCs w:val="21"/>
        </w:rPr>
        <w:t>12）支持知识点编辑状态预览，预览界面应与学生端学习知识点界面保持一致。</w:t>
      </w:r>
    </w:p>
    <w:p w14:paraId="54D2762C">
      <w:pPr>
        <w:spacing w:line="360" w:lineRule="auto"/>
        <w:ind w:firstLine="400"/>
        <w:jc w:val="left"/>
        <w:rPr>
          <w:rFonts w:ascii="宋体" w:hAnsi="宋体" w:cs="宋体"/>
          <w:kern w:val="0"/>
          <w:szCs w:val="21"/>
        </w:rPr>
      </w:pPr>
      <w:r>
        <w:rPr>
          <w:rFonts w:hint="eastAsia" w:ascii="宋体" w:hAnsi="宋体" w:cs="宋体"/>
          <w:kern w:val="0"/>
          <w:szCs w:val="21"/>
        </w:rPr>
        <w:t>13）支持在编辑单个知识点教学资源时，支持通过AI核心算法利用人工智能技术自动推荐知识点相关的教学视频片段、电子教材片段，方便采购人快速选择，丰富知识点资源，推荐的资源需要包含资源的名称、来自课程名称、学校名称、教师、章节信息、视频时长、引用状态，对不合适的视频资源可设置“不再推荐”</w:t>
      </w:r>
    </w:p>
    <w:p w14:paraId="099E5084">
      <w:pPr>
        <w:spacing w:line="360" w:lineRule="auto"/>
        <w:ind w:firstLine="400"/>
        <w:jc w:val="left"/>
        <w:rPr>
          <w:rFonts w:ascii="宋体" w:hAnsi="宋体" w:cs="宋体"/>
          <w:kern w:val="0"/>
          <w:szCs w:val="21"/>
        </w:rPr>
      </w:pPr>
      <w:r>
        <w:rPr>
          <w:rFonts w:hint="eastAsia" w:ascii="宋体" w:hAnsi="宋体" w:cs="宋体"/>
          <w:kern w:val="0"/>
          <w:szCs w:val="21"/>
        </w:rPr>
        <w:t>14）支持用户手动修改所引用的教学视频片段位置信息，对于视频资源可在视频时间轴上设置知识点片段的开始位置和截止位置，设置时能同时看到视频对应的时间戳；对于电子教材书籍可直接设置对应知识点内容片段的起点和终点。</w:t>
      </w:r>
    </w:p>
    <w:p w14:paraId="33336A12">
      <w:pPr>
        <w:spacing w:line="360" w:lineRule="auto"/>
        <w:ind w:firstLine="400"/>
        <w:jc w:val="left"/>
        <w:rPr>
          <w:rFonts w:ascii="宋体" w:hAnsi="宋体" w:cs="宋体"/>
          <w:kern w:val="0"/>
          <w:szCs w:val="21"/>
        </w:rPr>
      </w:pPr>
      <w:r>
        <w:rPr>
          <w:rFonts w:hint="eastAsia" w:ascii="宋体" w:hAnsi="宋体" w:cs="宋体"/>
          <w:kern w:val="0"/>
          <w:szCs w:val="21"/>
        </w:rPr>
        <w:t>15）虚拟仿真课程资源：系统需配备完全公开使用的虚拟仿真教学资源，确保所有课程均支持校内学生随时加入学习，不存在任何第三方依赖或使用限制。平台同时提供具备在线预览功能的3D模型资源库，模型资源总量不低于100个，全部为自主开发且无版权争议。系统支持无缝引入自有平台中的虚拟仿真实验课程资源，实现学生免登录一键转至课程实验界面进行实验练习。（提供所投真实产品的功能截图证明材料）</w:t>
      </w:r>
    </w:p>
    <w:p w14:paraId="2F27A415">
      <w:pPr>
        <w:spacing w:line="360" w:lineRule="auto"/>
        <w:ind w:firstLine="400"/>
        <w:jc w:val="left"/>
        <w:rPr>
          <w:rFonts w:ascii="宋体" w:hAnsi="宋体" w:cs="宋体"/>
          <w:kern w:val="0"/>
          <w:szCs w:val="21"/>
        </w:rPr>
      </w:pPr>
      <w:r>
        <w:rPr>
          <w:rFonts w:hint="eastAsia" w:ascii="宋体" w:hAnsi="宋体" w:cs="宋体"/>
          <w:kern w:val="0"/>
          <w:szCs w:val="21"/>
        </w:rPr>
        <w:t>16）支持课程资源引用界面包括课程名称，课程资源，所属学校等字段。其中学科资源类型不低于100门，总体课程资源数量不低于1000门，总体电子书资源数量不低于10000本，教材应能基于OCR技术，根据目录章节结构化，完成结构化的教材，标准支持编辑书本信息、查看书本信息、预览原件、更换电子书封面、删除电子书。点击识别完成的电子书，能够查阅电子书全文，支持缩放比例，切换演示模式、页面滚动、切换单页/双页视图等。</w:t>
      </w:r>
    </w:p>
    <w:p w14:paraId="0033683B">
      <w:pPr>
        <w:spacing w:line="360" w:lineRule="auto"/>
        <w:jc w:val="left"/>
        <w:rPr>
          <w:rFonts w:ascii="宋体" w:hAnsi="宋体" w:cs="宋体"/>
          <w:szCs w:val="21"/>
        </w:rPr>
      </w:pPr>
      <w:r>
        <w:rPr>
          <w:rFonts w:hint="eastAsia" w:ascii="宋体" w:hAnsi="宋体" w:cs="宋体"/>
          <w:szCs w:val="21"/>
        </w:rPr>
        <w:t>8. 知识图谱展示</w:t>
      </w:r>
    </w:p>
    <w:p w14:paraId="7644120B">
      <w:pPr>
        <w:spacing w:line="360" w:lineRule="auto"/>
        <w:ind w:firstLine="400"/>
        <w:jc w:val="left"/>
        <w:rPr>
          <w:rFonts w:ascii="宋体" w:hAnsi="宋体" w:cs="宋体"/>
          <w:kern w:val="0"/>
          <w:szCs w:val="21"/>
        </w:rPr>
      </w:pPr>
      <w:r>
        <w:rPr>
          <w:rFonts w:hint="eastAsia" w:ascii="宋体" w:hAnsi="宋体" w:cs="宋体"/>
          <w:kern w:val="0"/>
          <w:szCs w:val="21"/>
        </w:rPr>
        <w:t>1）支持通过环状图谱展示课程内全部的知识主题与知识点内容，系统支持至少2级环状结构展示。</w:t>
      </w:r>
    </w:p>
    <w:p w14:paraId="329A05FE">
      <w:pPr>
        <w:spacing w:line="360" w:lineRule="auto"/>
        <w:ind w:firstLine="400"/>
        <w:jc w:val="left"/>
        <w:rPr>
          <w:rFonts w:ascii="宋体" w:hAnsi="宋体" w:cs="宋体"/>
          <w:kern w:val="0"/>
          <w:szCs w:val="21"/>
        </w:rPr>
      </w:pPr>
      <w:r>
        <w:rPr>
          <w:rFonts w:hint="eastAsia" w:ascii="宋体" w:hAnsi="宋体" w:cs="宋体"/>
          <w:kern w:val="0"/>
          <w:szCs w:val="21"/>
        </w:rPr>
        <w:t>2）支持快速引导显示知识点的学习路径，选中知识点后，系统会自动显示关联的知识学习路径。</w:t>
      </w:r>
    </w:p>
    <w:p w14:paraId="3B66B953">
      <w:pPr>
        <w:spacing w:line="360" w:lineRule="auto"/>
        <w:ind w:firstLine="400"/>
        <w:jc w:val="left"/>
        <w:rPr>
          <w:rFonts w:ascii="宋体" w:hAnsi="宋体" w:cs="宋体"/>
          <w:kern w:val="0"/>
          <w:szCs w:val="21"/>
        </w:rPr>
      </w:pPr>
      <w:r>
        <w:rPr>
          <w:rFonts w:hint="eastAsia" w:ascii="宋体" w:hAnsi="宋体" w:cs="宋体"/>
          <w:kern w:val="0"/>
          <w:szCs w:val="21"/>
        </w:rPr>
        <w:t>3）支持通过知识主题显示智慧课程中的个性化图谱内容，系统通过知识主题将全部知识点进行分割，并可单独针对每一个主题的知识体系进行详细展示。</w:t>
      </w:r>
    </w:p>
    <w:p w14:paraId="0649B4D9">
      <w:pPr>
        <w:spacing w:line="360" w:lineRule="auto"/>
        <w:ind w:firstLine="400"/>
        <w:jc w:val="left"/>
        <w:rPr>
          <w:rFonts w:ascii="宋体" w:hAnsi="宋体" w:cs="宋体"/>
          <w:kern w:val="0"/>
          <w:szCs w:val="21"/>
        </w:rPr>
      </w:pPr>
      <w:r>
        <w:rPr>
          <w:rFonts w:hint="eastAsia" w:ascii="宋体" w:hAnsi="宋体" w:cs="宋体"/>
          <w:kern w:val="0"/>
          <w:szCs w:val="21"/>
        </w:rPr>
        <w:t>4）支持查看知识点详情内容，详情内容包含知识点的前后关系、知识点目录、知识点的学习顺序、知识点内容、知识点标签、知识关系汇总、知识点包含教学资源、知识点的简介。</w:t>
      </w:r>
    </w:p>
    <w:p w14:paraId="4F9267DF">
      <w:pPr>
        <w:spacing w:line="360" w:lineRule="auto"/>
        <w:ind w:firstLine="400"/>
        <w:jc w:val="left"/>
        <w:rPr>
          <w:rFonts w:ascii="宋体" w:hAnsi="宋体" w:cs="宋体"/>
          <w:kern w:val="0"/>
          <w:szCs w:val="21"/>
        </w:rPr>
      </w:pPr>
      <w:r>
        <w:rPr>
          <w:rFonts w:hint="eastAsia" w:ascii="宋体" w:hAnsi="宋体" w:cs="宋体"/>
          <w:kern w:val="0"/>
          <w:szCs w:val="21"/>
        </w:rPr>
        <w:t>5）支持知识点收藏，用户可根据自身需求对知识点进行收藏与取消收藏等操作。</w:t>
      </w:r>
    </w:p>
    <w:p w14:paraId="63BB104E">
      <w:pPr>
        <w:spacing w:line="360" w:lineRule="auto"/>
        <w:ind w:firstLine="400"/>
        <w:jc w:val="left"/>
        <w:rPr>
          <w:rFonts w:ascii="宋体" w:hAnsi="宋体" w:cs="宋体"/>
          <w:kern w:val="0"/>
          <w:szCs w:val="21"/>
        </w:rPr>
      </w:pPr>
      <w:r>
        <w:rPr>
          <w:rFonts w:hint="eastAsia" w:ascii="宋体" w:hAnsi="宋体" w:cs="宋体"/>
          <w:kern w:val="0"/>
          <w:szCs w:val="21"/>
        </w:rPr>
        <w:t>6)支持生成知识二维码：支持通过系统自动构建课程中知识点与章节知识点二维码或链接，并可免登录完成知识学习，学习内容包含动态知识图谱、知识点资源、知识点简介、知识点结构关系，资源内容可直接通过手机学习，如微信扫码。</w:t>
      </w:r>
    </w:p>
    <w:p w14:paraId="115BE450">
      <w:pPr>
        <w:spacing w:line="360" w:lineRule="auto"/>
        <w:ind w:firstLine="400"/>
        <w:jc w:val="left"/>
        <w:rPr>
          <w:rFonts w:ascii="宋体" w:hAnsi="宋体" w:cs="宋体"/>
          <w:kern w:val="0"/>
          <w:szCs w:val="21"/>
        </w:rPr>
      </w:pPr>
      <w:r>
        <w:rPr>
          <w:rFonts w:hint="eastAsia" w:ascii="宋体" w:hAnsi="宋体" w:cs="宋体"/>
          <w:kern w:val="0"/>
          <w:szCs w:val="21"/>
        </w:rPr>
        <w:t>7)支持分享知识点链接，复制后的链接可直接激活知识点详情进行学习。</w:t>
      </w:r>
    </w:p>
    <w:p w14:paraId="190CECDF">
      <w:pPr>
        <w:spacing w:line="360" w:lineRule="auto"/>
        <w:jc w:val="left"/>
        <w:rPr>
          <w:rFonts w:ascii="宋体" w:hAnsi="宋体" w:cs="宋体"/>
          <w:szCs w:val="21"/>
        </w:rPr>
      </w:pPr>
      <w:r>
        <w:rPr>
          <w:rFonts w:hint="eastAsia" w:ascii="宋体" w:hAnsi="宋体" w:cs="宋体"/>
          <w:szCs w:val="21"/>
        </w:rPr>
        <w:t>9. 题库建设</w:t>
      </w:r>
    </w:p>
    <w:p w14:paraId="7684DF14">
      <w:pPr>
        <w:spacing w:line="360" w:lineRule="auto"/>
        <w:ind w:firstLine="400"/>
        <w:jc w:val="left"/>
        <w:rPr>
          <w:rFonts w:ascii="宋体" w:hAnsi="宋体" w:cs="宋体"/>
          <w:kern w:val="0"/>
          <w:szCs w:val="21"/>
        </w:rPr>
      </w:pPr>
      <w:r>
        <w:rPr>
          <w:rFonts w:hint="eastAsia" w:ascii="宋体" w:hAnsi="宋体" w:cs="宋体"/>
          <w:kern w:val="0"/>
          <w:szCs w:val="21"/>
        </w:rPr>
        <w:t>1）题目题干支持富文本编辑，包括内容录入、图片录入、格式刷、字体更改、字号更改，支持插入链接，支持latex公式编辑器，支持上传任意格式附件，题干字数上限不少于1000字。</w:t>
      </w:r>
    </w:p>
    <w:p w14:paraId="64925B60">
      <w:pPr>
        <w:spacing w:line="360" w:lineRule="auto"/>
        <w:ind w:firstLine="400"/>
        <w:jc w:val="left"/>
        <w:rPr>
          <w:rFonts w:ascii="宋体" w:hAnsi="宋体" w:cs="宋体"/>
          <w:kern w:val="0"/>
          <w:szCs w:val="21"/>
        </w:rPr>
      </w:pPr>
      <w:r>
        <w:rPr>
          <w:rFonts w:hint="eastAsia" w:ascii="宋体" w:hAnsi="宋体" w:cs="宋体"/>
          <w:kern w:val="0"/>
          <w:szCs w:val="21"/>
        </w:rPr>
        <w:t>2）答案解析支持富文本编辑，包括格式刷、字体更改、字号更改，插入链接，支持latex公式编辑器，支持上传任意格式附件，题干字数上限不少于1000字。</w:t>
      </w:r>
    </w:p>
    <w:p w14:paraId="5F5D5241">
      <w:pPr>
        <w:spacing w:line="360" w:lineRule="auto"/>
        <w:ind w:firstLine="400"/>
        <w:jc w:val="left"/>
        <w:rPr>
          <w:rFonts w:ascii="宋体" w:hAnsi="宋体" w:cs="宋体"/>
          <w:kern w:val="0"/>
          <w:szCs w:val="21"/>
        </w:rPr>
      </w:pPr>
      <w:r>
        <w:rPr>
          <w:rFonts w:hint="eastAsia" w:ascii="宋体" w:hAnsi="宋体" w:cs="宋体"/>
          <w:kern w:val="0"/>
          <w:szCs w:val="21"/>
        </w:rPr>
        <w:t>3）单选题支持设置一个标准答案，支持新增答案选项，答案选项数量限制最高不少于12个，最低不多于2个，选项内容支持富文本，包括格式化、字体更改、字号更改，插入链接，支持latex公式编辑器，选项字数上限不少于50字，支持删除选项。</w:t>
      </w:r>
    </w:p>
    <w:p w14:paraId="38F06E46">
      <w:pPr>
        <w:spacing w:line="360" w:lineRule="auto"/>
        <w:ind w:firstLine="400"/>
        <w:jc w:val="left"/>
        <w:rPr>
          <w:rFonts w:ascii="宋体" w:hAnsi="宋体" w:cs="宋体"/>
          <w:kern w:val="0"/>
          <w:szCs w:val="21"/>
        </w:rPr>
      </w:pPr>
      <w:r>
        <w:rPr>
          <w:rFonts w:hint="eastAsia" w:ascii="宋体" w:hAnsi="宋体" w:cs="宋体"/>
          <w:kern w:val="0"/>
          <w:szCs w:val="21"/>
        </w:rPr>
        <w:t>4）多选题支持设置多个标准答案，标准答案数量限制最高等同于选项个数，最低不多于2个，支持新增答案选项，答案选项数量限制最高不少于12个，最低不多于2个，选项内容支持富文本，包括格式刷、字体更改、字号更改，插入链接，支持latex公式编辑器，选项字数上限不少于50字，支持删除选项。</w:t>
      </w:r>
    </w:p>
    <w:p w14:paraId="7C38D987">
      <w:pPr>
        <w:spacing w:line="360" w:lineRule="auto"/>
        <w:ind w:firstLine="400"/>
        <w:jc w:val="left"/>
        <w:rPr>
          <w:rFonts w:ascii="宋体" w:hAnsi="宋体" w:cs="宋体"/>
          <w:kern w:val="0"/>
          <w:szCs w:val="21"/>
        </w:rPr>
      </w:pPr>
      <w:r>
        <w:rPr>
          <w:rFonts w:hint="eastAsia" w:ascii="宋体" w:hAnsi="宋体" w:cs="宋体"/>
          <w:kern w:val="0"/>
          <w:szCs w:val="21"/>
        </w:rPr>
        <w:t>5）判断题支持设置一个标准答案，选项内容包括“对”和“错”两项。</w:t>
      </w:r>
    </w:p>
    <w:p w14:paraId="67E60157">
      <w:pPr>
        <w:spacing w:line="360" w:lineRule="auto"/>
        <w:ind w:firstLine="400"/>
        <w:jc w:val="left"/>
        <w:rPr>
          <w:rFonts w:ascii="宋体" w:hAnsi="宋体" w:cs="宋体"/>
          <w:kern w:val="0"/>
          <w:szCs w:val="21"/>
        </w:rPr>
      </w:pPr>
      <w:r>
        <w:rPr>
          <w:rFonts w:hint="eastAsia" w:ascii="宋体" w:hAnsi="宋体" w:cs="宋体"/>
          <w:kern w:val="0"/>
          <w:szCs w:val="21"/>
        </w:rPr>
        <w:t>6）填空题支持设置多个标准答案，标准答案数量上限最高不少于12个，下限不多于1个，答案内容支持富文本，包括格式化、字体更改、字号更改，插入链接，支持latex公式编辑器，选项字数上限不少于100字，支持删除选项。</w:t>
      </w:r>
    </w:p>
    <w:p w14:paraId="5E0E5965">
      <w:pPr>
        <w:spacing w:line="360" w:lineRule="auto"/>
        <w:ind w:firstLine="400"/>
        <w:jc w:val="left"/>
        <w:rPr>
          <w:rFonts w:ascii="宋体" w:hAnsi="宋体" w:cs="宋体"/>
          <w:kern w:val="0"/>
          <w:szCs w:val="21"/>
        </w:rPr>
      </w:pPr>
      <w:r>
        <w:rPr>
          <w:rFonts w:hint="eastAsia" w:ascii="宋体" w:hAnsi="宋体" w:cs="宋体"/>
          <w:kern w:val="0"/>
          <w:szCs w:val="21"/>
        </w:rPr>
        <w:t>7）问答题支持设置一个标准答案，答案内容支持富文本编辑，包括格式刷、字体更改、字号更改，插入链接，支持latex公式编辑器，答案字数上限不少于1000字。</w:t>
      </w:r>
    </w:p>
    <w:p w14:paraId="61479A41">
      <w:pPr>
        <w:spacing w:line="360" w:lineRule="auto"/>
        <w:ind w:firstLine="400"/>
        <w:jc w:val="left"/>
        <w:rPr>
          <w:rFonts w:ascii="宋体" w:hAnsi="宋体" w:cs="宋体"/>
          <w:kern w:val="0"/>
          <w:szCs w:val="21"/>
        </w:rPr>
      </w:pPr>
      <w:r>
        <w:rPr>
          <w:rFonts w:hint="eastAsia" w:ascii="宋体" w:hAnsi="宋体" w:cs="宋体"/>
          <w:kern w:val="0"/>
          <w:szCs w:val="21"/>
        </w:rPr>
        <w:t>8）组合题支持在题目中设置多个题型的子题目，题型至少包括单选题、多选题、判断题、填空题和问答题，子题目数量上限不少于10道，支持调整子题目顺序，支持删除子题目。</w:t>
      </w:r>
    </w:p>
    <w:p w14:paraId="0932C83F">
      <w:pPr>
        <w:spacing w:line="360" w:lineRule="auto"/>
        <w:ind w:firstLine="400"/>
        <w:jc w:val="left"/>
        <w:rPr>
          <w:rFonts w:ascii="宋体" w:hAnsi="宋体" w:cs="宋体"/>
          <w:kern w:val="0"/>
          <w:szCs w:val="21"/>
        </w:rPr>
      </w:pPr>
      <w:r>
        <w:rPr>
          <w:rFonts w:hint="eastAsia" w:ascii="宋体" w:hAnsi="宋体" w:cs="宋体"/>
          <w:kern w:val="0"/>
          <w:szCs w:val="21"/>
        </w:rPr>
        <w:t>9）支持通过word和Excel模板导入的形式新建题目，支持下载导入模板，支持基于模板自动识别试题，并返回识别结果，支持选择部分试题进行导入，支持对识别后的试题进行修改。</w:t>
      </w:r>
    </w:p>
    <w:p w14:paraId="635AE703">
      <w:pPr>
        <w:spacing w:line="360" w:lineRule="auto"/>
        <w:ind w:firstLine="400"/>
        <w:jc w:val="left"/>
        <w:rPr>
          <w:rFonts w:ascii="宋体" w:hAnsi="宋体" w:cs="宋体"/>
          <w:kern w:val="0"/>
          <w:szCs w:val="21"/>
        </w:rPr>
      </w:pPr>
      <w:r>
        <w:rPr>
          <w:rFonts w:hint="eastAsia" w:ascii="宋体" w:hAnsi="宋体" w:cs="宋体"/>
          <w:kern w:val="0"/>
          <w:szCs w:val="21"/>
        </w:rPr>
        <w:t>10）支持创建题目时，将已经创建好的题目保存至教学文件夹中，后续想通教学团队的老师可通向文件夹题目进行使用。</w:t>
      </w:r>
    </w:p>
    <w:p w14:paraId="55604842">
      <w:pPr>
        <w:pStyle w:val="5"/>
        <w:ind w:firstLine="0" w:firstLineChars="0"/>
        <w:jc w:val="both"/>
        <w:rPr>
          <w:rFonts w:hAnsi="宋体" w:cs="宋体"/>
          <w:sz w:val="21"/>
          <w:szCs w:val="21"/>
        </w:rPr>
      </w:pPr>
      <w:r>
        <w:rPr>
          <w:rFonts w:hint="eastAsia" w:hAnsi="宋体" w:cs="宋体"/>
          <w:sz w:val="21"/>
          <w:szCs w:val="21"/>
        </w:rPr>
        <w:t>（二）AI智慧空间应用服务</w:t>
      </w:r>
    </w:p>
    <w:p w14:paraId="29A9E281">
      <w:pPr>
        <w:spacing w:line="360" w:lineRule="auto"/>
        <w:jc w:val="left"/>
        <w:rPr>
          <w:rFonts w:ascii="宋体" w:hAnsi="宋体" w:cs="宋体"/>
          <w:szCs w:val="21"/>
        </w:rPr>
      </w:pPr>
      <w:r>
        <w:rPr>
          <w:rFonts w:hint="eastAsia" w:ascii="宋体" w:hAnsi="宋体" w:cs="宋体"/>
          <w:szCs w:val="21"/>
        </w:rPr>
        <w:t>1. 课程知识库</w:t>
      </w:r>
    </w:p>
    <w:p w14:paraId="5F63AD11">
      <w:pPr>
        <w:spacing w:line="360" w:lineRule="auto"/>
        <w:ind w:firstLine="400"/>
        <w:jc w:val="left"/>
        <w:rPr>
          <w:rFonts w:ascii="宋体" w:hAnsi="宋体" w:cs="宋体"/>
          <w:kern w:val="0"/>
          <w:szCs w:val="21"/>
        </w:rPr>
      </w:pPr>
      <w:r>
        <w:rPr>
          <w:rFonts w:hint="eastAsia" w:ascii="宋体" w:hAnsi="宋体" w:cs="宋体"/>
          <w:kern w:val="0"/>
          <w:szCs w:val="21"/>
        </w:rPr>
        <w:t>1）支持多类型文件解析：可对教材书籍、教学视频、教案课件、相关论文等多种文件格式进行解析。通过运用专业的解析算法与技术，能够有效提取各类文件中的关键信息，实现知识资源的整合，为后续的知识管理与应用提供基础数据支持。</w:t>
      </w:r>
    </w:p>
    <w:p w14:paraId="6D8A9557">
      <w:pPr>
        <w:spacing w:line="360" w:lineRule="auto"/>
        <w:ind w:firstLine="400"/>
        <w:jc w:val="left"/>
        <w:rPr>
          <w:rFonts w:ascii="宋体" w:hAnsi="宋体" w:cs="宋体"/>
          <w:kern w:val="0"/>
          <w:szCs w:val="21"/>
        </w:rPr>
      </w:pPr>
      <w:r>
        <w:rPr>
          <w:rFonts w:hint="eastAsia" w:ascii="宋体" w:hAnsi="宋体" w:cs="宋体"/>
          <w:kern w:val="0"/>
          <w:szCs w:val="21"/>
        </w:rPr>
        <w:t>2）支持海量字符解析：具备强大的字符解析能力，能够处理百万级别的字符量。借助先进的自然语言处理技术，系统可对文档内容进行深度挖掘，精准识别语法结构、语义关系等，确保对文档知识的准确理解与提取，为知识体系的构建提供文档数据。</w:t>
      </w:r>
    </w:p>
    <w:p w14:paraId="700ADCEB">
      <w:pPr>
        <w:spacing w:line="360" w:lineRule="auto"/>
        <w:ind w:firstLine="400"/>
        <w:jc w:val="left"/>
        <w:rPr>
          <w:rFonts w:ascii="宋体" w:hAnsi="宋体" w:cs="宋体"/>
          <w:kern w:val="0"/>
          <w:szCs w:val="21"/>
        </w:rPr>
      </w:pPr>
      <w:r>
        <w:rPr>
          <w:rFonts w:hint="eastAsia" w:ascii="宋体" w:hAnsi="宋体" w:cs="宋体"/>
          <w:kern w:val="0"/>
          <w:szCs w:val="21"/>
        </w:rPr>
        <w:t>3）支持图片提取：能够从各类资源中自动提取图片，图片提取数量可达数百张。运用图像识别技术，系统可精准定位并提取资源中的图片，提取后的图片可用于辅助知识呈现，为知识的可视化表达提供素材。</w:t>
      </w:r>
    </w:p>
    <w:p w14:paraId="3C17EBF2">
      <w:pPr>
        <w:spacing w:line="360" w:lineRule="auto"/>
        <w:ind w:firstLine="400"/>
        <w:jc w:val="left"/>
        <w:rPr>
          <w:rFonts w:ascii="宋体" w:hAnsi="宋体" w:cs="宋体"/>
          <w:kern w:val="0"/>
          <w:szCs w:val="21"/>
        </w:rPr>
      </w:pPr>
      <w:r>
        <w:rPr>
          <w:rFonts w:hint="eastAsia" w:ascii="宋体" w:hAnsi="宋体" w:cs="宋体"/>
          <w:kern w:val="0"/>
          <w:szCs w:val="21"/>
        </w:rPr>
        <w:t>4）支持知识点同步与梳理：支持知识点的同步操作，涵盖知识点的提取、描述以及知识点之间关系的梳理。系统可同步上百个知识点，通过构建知识图谱等方式，将知识点系统化，呈现清晰的知识架构，方便用户对知识进行系统学习与深入研究。</w:t>
      </w:r>
    </w:p>
    <w:p w14:paraId="531DA7B5">
      <w:pPr>
        <w:spacing w:line="360" w:lineRule="auto"/>
        <w:ind w:firstLine="400"/>
        <w:jc w:val="left"/>
        <w:rPr>
          <w:rFonts w:ascii="宋体" w:hAnsi="宋体" w:cs="宋体"/>
          <w:kern w:val="0"/>
          <w:szCs w:val="21"/>
        </w:rPr>
      </w:pPr>
      <w:r>
        <w:rPr>
          <w:rFonts w:hint="eastAsia" w:ascii="宋体" w:hAnsi="宋体" w:cs="宋体"/>
          <w:kern w:val="0"/>
          <w:szCs w:val="21"/>
        </w:rPr>
        <w:t>5）支持资源分类管理：拥有完善的资源分类管理功能，可将资源按照知识图谱资源、课程总资源等不同类别进行划分与管理。在每个类别下，还能进一步细分不同主题，形成层次分明的资源分类体系，方便用户快速定位和查找所需知识领域的资源。</w:t>
      </w:r>
    </w:p>
    <w:p w14:paraId="132D48E1">
      <w:pPr>
        <w:spacing w:line="360" w:lineRule="auto"/>
        <w:ind w:firstLine="400"/>
        <w:jc w:val="left"/>
        <w:rPr>
          <w:rFonts w:ascii="宋体" w:hAnsi="宋体" w:cs="宋体"/>
          <w:kern w:val="0"/>
          <w:szCs w:val="21"/>
        </w:rPr>
      </w:pPr>
      <w:r>
        <w:rPr>
          <w:rFonts w:hint="eastAsia" w:ascii="宋体" w:hAnsi="宋体" w:cs="宋体"/>
          <w:kern w:val="0"/>
          <w:szCs w:val="21"/>
        </w:rPr>
        <w:t>6）支持智能资源搜索：提供智能资源搜索功能，用户通过输入关键词、短语等方式，即可快速检索所需资源。系统利用智能算法，具备智能匹配与精准定位能力，能够在海量资源中迅速筛选出相关资源，并按照相关性等因素进行排序展示，提升资源查找效率。</w:t>
      </w:r>
    </w:p>
    <w:p w14:paraId="4EB16EE1">
      <w:pPr>
        <w:spacing w:line="360" w:lineRule="auto"/>
        <w:ind w:firstLine="400"/>
        <w:jc w:val="left"/>
        <w:rPr>
          <w:rFonts w:ascii="宋体" w:hAnsi="宋体" w:cs="宋体"/>
          <w:kern w:val="0"/>
          <w:szCs w:val="21"/>
        </w:rPr>
      </w:pPr>
      <w:r>
        <w:rPr>
          <w:rFonts w:hint="eastAsia" w:ascii="宋体" w:hAnsi="宋体" w:cs="宋体"/>
          <w:kern w:val="0"/>
          <w:szCs w:val="21"/>
        </w:rPr>
        <w:t>7）支持便捷资源添加：设有专门的资源添加模块，支持单次添加1G以内的资源，支持多种资源添加方式，包括但不限于视频、图谱、音频、PPT、文档。</w:t>
      </w:r>
    </w:p>
    <w:p w14:paraId="220A4B24">
      <w:pPr>
        <w:spacing w:line="360" w:lineRule="auto"/>
        <w:ind w:firstLine="400"/>
        <w:jc w:val="left"/>
        <w:rPr>
          <w:rFonts w:ascii="宋体" w:hAnsi="宋体" w:cs="宋体"/>
          <w:kern w:val="0"/>
          <w:szCs w:val="21"/>
        </w:rPr>
      </w:pPr>
      <w:r>
        <w:rPr>
          <w:rFonts w:hint="eastAsia" w:ascii="宋体" w:hAnsi="宋体" w:cs="宋体"/>
          <w:kern w:val="0"/>
          <w:szCs w:val="21"/>
        </w:rPr>
        <w:t>8）支持广泛资源类型涵盖：课程总资源模块包含视频、音频、图片、文档、PPT、教材书籍及其他多种资源类型。</w:t>
      </w:r>
    </w:p>
    <w:p w14:paraId="244994EA">
      <w:pPr>
        <w:spacing w:line="360" w:lineRule="auto"/>
        <w:ind w:firstLine="400"/>
        <w:jc w:val="left"/>
        <w:rPr>
          <w:rFonts w:ascii="宋体" w:hAnsi="宋体" w:cs="宋体"/>
          <w:kern w:val="0"/>
          <w:szCs w:val="21"/>
        </w:rPr>
      </w:pPr>
      <w:r>
        <w:rPr>
          <w:rFonts w:hint="eastAsia" w:ascii="宋体" w:hAnsi="宋体" w:cs="宋体"/>
          <w:kern w:val="0"/>
          <w:szCs w:val="21"/>
        </w:rPr>
        <w:t>9）支持资源数量与大小统计：支持清晰呈现各类资源的数量及大小信息，如各类型资源的数量以及它们各自对应的存储空间大小等。直观了解资源库的存储情况，便于进行资源管理、空间规划以及资源使用评估。</w:t>
      </w:r>
    </w:p>
    <w:p w14:paraId="731BE97B">
      <w:pPr>
        <w:spacing w:line="360" w:lineRule="auto"/>
        <w:ind w:firstLine="400"/>
        <w:jc w:val="left"/>
        <w:rPr>
          <w:rFonts w:ascii="宋体" w:hAnsi="宋体" w:cs="宋体"/>
          <w:kern w:val="0"/>
          <w:szCs w:val="21"/>
        </w:rPr>
      </w:pPr>
      <w:r>
        <w:rPr>
          <w:rFonts w:hint="eastAsia" w:ascii="宋体" w:hAnsi="宋体" w:cs="宋体"/>
          <w:kern w:val="0"/>
          <w:szCs w:val="21"/>
        </w:rPr>
        <w:t>10）支持资源详情查看：支持针对每种资源类型，设置便捷的操作按钮。用户点击按钮后，可快速进入相应资源的详细查看界面。</w:t>
      </w:r>
    </w:p>
    <w:p w14:paraId="733823E8">
      <w:pPr>
        <w:spacing w:line="360" w:lineRule="auto"/>
        <w:ind w:firstLine="400"/>
        <w:jc w:val="left"/>
        <w:rPr>
          <w:rFonts w:ascii="宋体" w:hAnsi="宋体" w:cs="宋体"/>
          <w:kern w:val="0"/>
          <w:szCs w:val="21"/>
        </w:rPr>
      </w:pPr>
      <w:r>
        <w:rPr>
          <w:rFonts w:hint="eastAsia" w:ascii="宋体" w:hAnsi="宋体" w:cs="宋体"/>
          <w:kern w:val="0"/>
          <w:szCs w:val="21"/>
        </w:rPr>
        <w:t>11）支持文件资源预览：支持针对某一类资源类型下的单个具体资源进行预览查看操作，且可以查看该资源的处理状态、上传人、更新时间等信息。</w:t>
      </w:r>
    </w:p>
    <w:p w14:paraId="0E997FB8">
      <w:pPr>
        <w:spacing w:line="360" w:lineRule="auto"/>
        <w:ind w:firstLine="400"/>
        <w:jc w:val="left"/>
        <w:rPr>
          <w:rFonts w:ascii="宋体" w:hAnsi="宋体" w:cs="宋体"/>
          <w:kern w:val="0"/>
          <w:szCs w:val="21"/>
        </w:rPr>
      </w:pPr>
      <w:r>
        <w:rPr>
          <w:rFonts w:hint="eastAsia" w:ascii="宋体" w:hAnsi="宋体" w:cs="宋体"/>
          <w:kern w:val="0"/>
          <w:szCs w:val="21"/>
        </w:rPr>
        <w:t>12）支持知识库资源汇总展示：能够汇总展示知识库内各类资源数量，包括但不限于文件解析数、知识点同步数、字符解析数、图片提取数以及音视频时长。</w:t>
      </w:r>
    </w:p>
    <w:p w14:paraId="2D217548">
      <w:pPr>
        <w:spacing w:line="360" w:lineRule="auto"/>
        <w:ind w:firstLine="400"/>
        <w:jc w:val="left"/>
        <w:rPr>
          <w:rFonts w:ascii="宋体" w:hAnsi="宋体" w:cs="宋体"/>
          <w:kern w:val="0"/>
          <w:szCs w:val="21"/>
        </w:rPr>
      </w:pPr>
      <w:r>
        <w:rPr>
          <w:rFonts w:hint="eastAsia" w:ascii="宋体" w:hAnsi="宋体" w:cs="宋体"/>
          <w:kern w:val="0"/>
          <w:szCs w:val="21"/>
        </w:rPr>
        <w:t>13）支持资源详情展示：详细展示每个资源的相关信息，包括但不限于资源名称、文件大小、创建时间、文件格式等。这些详细信息有助于用户在选择和使用资源时，全面了解资源的基本情况，从而做出合理的资源使用决策。</w:t>
      </w:r>
    </w:p>
    <w:p w14:paraId="3485E37D">
      <w:pPr>
        <w:spacing w:line="360" w:lineRule="auto"/>
        <w:ind w:firstLine="400"/>
        <w:jc w:val="left"/>
        <w:rPr>
          <w:rFonts w:ascii="宋体" w:hAnsi="宋体" w:cs="宋体"/>
          <w:kern w:val="0"/>
          <w:szCs w:val="21"/>
        </w:rPr>
      </w:pPr>
      <w:r>
        <w:rPr>
          <w:rFonts w:hint="eastAsia" w:ascii="宋体" w:hAnsi="宋体" w:cs="宋体"/>
          <w:kern w:val="0"/>
          <w:szCs w:val="21"/>
        </w:rPr>
        <w:t>14）支持多样化资源展示形式：支持文档、图片、音视频等多种资源展示形式。系统根据不同资源类型的特点，采用相应的展示方式，如文档的高亮显示、音视频的倍速播放等，以适应不同用户的学习习惯和资源查看需求。</w:t>
      </w:r>
    </w:p>
    <w:p w14:paraId="6DF41B4A">
      <w:pPr>
        <w:spacing w:line="360" w:lineRule="auto"/>
        <w:jc w:val="left"/>
        <w:rPr>
          <w:rFonts w:ascii="宋体" w:hAnsi="宋体" w:cs="宋体"/>
          <w:szCs w:val="21"/>
        </w:rPr>
      </w:pPr>
      <w:r>
        <w:rPr>
          <w:rFonts w:hint="eastAsia" w:ascii="宋体" w:hAnsi="宋体" w:cs="宋体"/>
          <w:szCs w:val="21"/>
        </w:rPr>
        <w:t>2. 课程特色AI指令</w:t>
      </w:r>
    </w:p>
    <w:p w14:paraId="795EA16C">
      <w:pPr>
        <w:spacing w:line="360" w:lineRule="auto"/>
        <w:ind w:firstLine="400"/>
        <w:jc w:val="left"/>
        <w:rPr>
          <w:rFonts w:ascii="宋体" w:hAnsi="宋体" w:cs="宋体"/>
          <w:kern w:val="0"/>
          <w:szCs w:val="21"/>
        </w:rPr>
      </w:pPr>
      <w:r>
        <w:rPr>
          <w:rFonts w:hint="eastAsia" w:ascii="宋体" w:hAnsi="宋体" w:cs="宋体"/>
          <w:kern w:val="0"/>
          <w:szCs w:val="21"/>
        </w:rPr>
        <w:t>1）支持提供快捷指令，包含通用快捷指令和自动以快捷指令，支持按照指令分组进行分类筛选查看，同时支持进入指令中心管理界面进行指令的查找。</w:t>
      </w:r>
    </w:p>
    <w:p w14:paraId="73B49FB9">
      <w:pPr>
        <w:spacing w:line="360" w:lineRule="auto"/>
        <w:ind w:firstLine="400"/>
        <w:jc w:val="left"/>
        <w:rPr>
          <w:rFonts w:ascii="宋体" w:hAnsi="宋体" w:cs="宋体"/>
          <w:kern w:val="0"/>
          <w:szCs w:val="21"/>
        </w:rPr>
      </w:pPr>
      <w:r>
        <w:rPr>
          <w:rFonts w:hint="eastAsia" w:ascii="宋体" w:hAnsi="宋体" w:cs="宋体"/>
          <w:kern w:val="0"/>
          <w:szCs w:val="21"/>
        </w:rPr>
        <w:t>2）支持通过检索框输入检索词进行指令的检索发现，该检索逻辑是基于对指令名称及指令描述的深度标引，支持检索词在指令的名称及描述内容范围内检索，进行精确匹配。</w:t>
      </w:r>
    </w:p>
    <w:p w14:paraId="61691368">
      <w:pPr>
        <w:spacing w:line="360" w:lineRule="auto"/>
        <w:ind w:firstLine="400"/>
        <w:jc w:val="left"/>
        <w:rPr>
          <w:rFonts w:ascii="宋体" w:hAnsi="宋体" w:cs="宋体"/>
          <w:kern w:val="0"/>
          <w:szCs w:val="21"/>
        </w:rPr>
      </w:pPr>
      <w:r>
        <w:rPr>
          <w:rFonts w:hint="eastAsia" w:ascii="宋体" w:hAnsi="宋体" w:cs="宋体"/>
          <w:kern w:val="0"/>
          <w:szCs w:val="21"/>
        </w:rPr>
        <w:t>3）支持在指令管理中心设置新的分类，打造个性化指令库，每个分类下自动统计指令数量。点击具体指令，可跳转对应的指令提问页面直接使用。</w:t>
      </w:r>
    </w:p>
    <w:p w14:paraId="72D8B040">
      <w:pPr>
        <w:spacing w:line="360" w:lineRule="auto"/>
        <w:ind w:firstLine="400"/>
        <w:jc w:val="left"/>
        <w:rPr>
          <w:rFonts w:ascii="宋体" w:hAnsi="宋体" w:cs="宋体"/>
          <w:kern w:val="0"/>
          <w:szCs w:val="21"/>
        </w:rPr>
      </w:pPr>
      <w:r>
        <w:rPr>
          <w:rFonts w:hint="eastAsia" w:ascii="宋体" w:hAnsi="宋体" w:cs="宋体"/>
          <w:kern w:val="0"/>
          <w:szCs w:val="21"/>
        </w:rPr>
        <w:t>4）支持教师在各指令分组下创建个人专属课程特色指令，支持两种指令创建模式，简单指令支持输入指令标题及指令内容描述，形成标准化固定问题，引用时可直接点击发送提问；复杂指令支持在标准指令的基础上增加变量的输入，形成半开放式引导性问题，引用时可自定义替换变量内容后发送提问，支持个性化的提问方式。支持教师创建指令后选择是否将指令对学生开放使用，辅助学生问题导向性学习。</w:t>
      </w:r>
    </w:p>
    <w:p w14:paraId="639DB993">
      <w:pPr>
        <w:spacing w:line="360" w:lineRule="auto"/>
        <w:jc w:val="left"/>
        <w:rPr>
          <w:rFonts w:ascii="宋体" w:hAnsi="宋体" w:cs="宋体"/>
          <w:kern w:val="0"/>
          <w:szCs w:val="21"/>
        </w:rPr>
      </w:pPr>
      <w:r>
        <w:rPr>
          <w:rFonts w:hint="eastAsia" w:ascii="宋体" w:hAnsi="宋体" w:cs="宋体"/>
          <w:szCs w:val="21"/>
        </w:rPr>
        <w:t>3. 课程智能体</w:t>
      </w:r>
    </w:p>
    <w:p w14:paraId="53DC972A">
      <w:pPr>
        <w:spacing w:line="360" w:lineRule="auto"/>
        <w:ind w:firstLine="400"/>
        <w:jc w:val="left"/>
        <w:rPr>
          <w:rFonts w:ascii="宋体" w:hAnsi="宋体" w:cs="宋体"/>
          <w:kern w:val="0"/>
          <w:szCs w:val="21"/>
        </w:rPr>
      </w:pPr>
      <w:r>
        <w:rPr>
          <w:rFonts w:hint="eastAsia" w:ascii="宋体" w:hAnsi="宋体" w:cs="宋体"/>
          <w:kern w:val="0"/>
          <w:szCs w:val="21"/>
        </w:rPr>
        <w:t>1）支持查看已发布的智能体，或根据学科学习需求创建新的智能体。</w:t>
      </w:r>
    </w:p>
    <w:p w14:paraId="6D540EEA">
      <w:pPr>
        <w:spacing w:line="360" w:lineRule="auto"/>
        <w:ind w:firstLine="400"/>
        <w:jc w:val="left"/>
        <w:rPr>
          <w:rFonts w:ascii="宋体" w:hAnsi="宋体" w:cs="宋体"/>
          <w:kern w:val="0"/>
          <w:szCs w:val="21"/>
        </w:rPr>
      </w:pPr>
      <w:r>
        <w:rPr>
          <w:rFonts w:hint="eastAsia" w:ascii="宋体" w:hAnsi="宋体" w:cs="宋体"/>
          <w:kern w:val="0"/>
          <w:szCs w:val="21"/>
        </w:rPr>
        <w:t>2）支持结合课程内容自动构建专属智能体，也支持选择对话情景模板快速创建智能体，如辩论赛场、临床问诊室等，按照课程生命周期形成智能体部署生态。支持设置场景对话模版及考核评分标准，对话界面支持自定义对话框颜色及背景，设置完成后可进行对话界面的预览。（提供所投真实产品的功能截图证明材料）</w:t>
      </w:r>
    </w:p>
    <w:p w14:paraId="54F3DEAD">
      <w:pPr>
        <w:spacing w:line="360" w:lineRule="auto"/>
        <w:ind w:firstLine="400"/>
        <w:jc w:val="left"/>
        <w:rPr>
          <w:rFonts w:ascii="宋体" w:hAnsi="宋体" w:cs="宋体"/>
          <w:kern w:val="0"/>
          <w:szCs w:val="21"/>
        </w:rPr>
      </w:pPr>
      <w:r>
        <w:rPr>
          <w:rFonts w:hint="eastAsia" w:ascii="宋体" w:hAnsi="宋体" w:cs="宋体"/>
          <w:kern w:val="0"/>
          <w:szCs w:val="21"/>
        </w:rPr>
        <w:t>2）支持接入第三方智能体，支持设置智能体智能个性化头像、创建人、智能体简介、智能体链接；支持设置智能体使用权限，例如支持版本内所有教师均可编辑、或创建者可编辑。</w:t>
      </w:r>
    </w:p>
    <w:p w14:paraId="69CC8748">
      <w:pPr>
        <w:spacing w:line="360" w:lineRule="auto"/>
        <w:ind w:firstLine="400"/>
        <w:jc w:val="left"/>
        <w:rPr>
          <w:rFonts w:ascii="宋体" w:hAnsi="宋体" w:cs="宋体"/>
          <w:kern w:val="0"/>
          <w:szCs w:val="21"/>
        </w:rPr>
      </w:pPr>
      <w:r>
        <w:rPr>
          <w:rFonts w:hint="eastAsia" w:ascii="宋体" w:hAnsi="宋体" w:cs="宋体"/>
          <w:kern w:val="0"/>
          <w:szCs w:val="21"/>
        </w:rPr>
        <w:t>3）支持设置课程智能体技能，支持设置智能体简介、开场白、引导问题不少于3个、智能体设定描述不低于5000字、智能体关联的知识库范围，支持与课程图谱引擎相关联，包括知识图谱、问题图谱、课程能力目标、学术资源推荐、网络资源推荐、思维导图生产等，用户能够选择设置的回复模型不低于4个。支持发布前的调试与预览功能，允许用户在正式发布前进行调整和查看效果和展示效果。支持配置课程下子课程开放该智能体的权限，支持设置学生和老师的编辑、使用权限。支持配置选择自定义创建的智能体是否共享至智能体广场，可共享到指定分类下。</w:t>
      </w:r>
    </w:p>
    <w:p w14:paraId="75D98EBA">
      <w:pPr>
        <w:spacing w:line="360" w:lineRule="auto"/>
        <w:ind w:firstLine="400"/>
        <w:jc w:val="left"/>
        <w:rPr>
          <w:rFonts w:ascii="宋体" w:hAnsi="宋体" w:cs="宋体"/>
          <w:kern w:val="0"/>
          <w:szCs w:val="21"/>
        </w:rPr>
      </w:pPr>
      <w:r>
        <w:rPr>
          <w:rFonts w:hint="eastAsia" w:ascii="宋体" w:hAnsi="宋体" w:cs="宋体"/>
          <w:kern w:val="0"/>
          <w:szCs w:val="21"/>
        </w:rPr>
        <w:t>4）支持开设智能体测评任务，支持选定智能体后设置任务名称，选择发布班级、设定任务起止时间，通知方式支持通过小程序、短信、小程序和短信或不通知，支持设置允许重复练习的次数，也可不限制次数，支持设置任务满分值和计分标准，支持根据分数进行评级，可自定义添加评分等级分数要求、评级名称。支持查看学生的任务完成详情，包括已参与人数、未参与人数、每个学生的评测次数、成绩和评级。（提供所投真实产品的功能截图证明材料）</w:t>
      </w:r>
    </w:p>
    <w:p w14:paraId="0FFFBBD4">
      <w:pPr>
        <w:spacing w:line="360" w:lineRule="auto"/>
        <w:ind w:firstLine="400"/>
        <w:jc w:val="left"/>
        <w:rPr>
          <w:rFonts w:ascii="宋体" w:hAnsi="宋体" w:cs="宋体"/>
          <w:kern w:val="0"/>
          <w:szCs w:val="21"/>
        </w:rPr>
      </w:pPr>
      <w:r>
        <w:rPr>
          <w:rFonts w:hint="eastAsia" w:ascii="宋体" w:hAnsi="宋体" w:cs="宋体"/>
          <w:kern w:val="0"/>
          <w:szCs w:val="21"/>
        </w:rPr>
        <w:t>5）提供官方精选智能体展示专区，集中呈现平台中广受认可和高频使用的优质智能体资源。支持实时公开智能体核心交互数据，包括智能体的总对话次数和当前活跃使用人数。</w:t>
      </w:r>
    </w:p>
    <w:p w14:paraId="6B1097EB">
      <w:pPr>
        <w:spacing w:line="360" w:lineRule="auto"/>
        <w:ind w:firstLine="400"/>
        <w:jc w:val="left"/>
        <w:rPr>
          <w:rFonts w:ascii="宋体" w:hAnsi="宋体" w:cs="宋体"/>
          <w:kern w:val="0"/>
          <w:szCs w:val="21"/>
        </w:rPr>
      </w:pPr>
      <w:r>
        <w:rPr>
          <w:rFonts w:hint="eastAsia" w:ascii="宋体" w:hAnsi="宋体" w:cs="宋体"/>
          <w:kern w:val="0"/>
          <w:szCs w:val="21"/>
        </w:rPr>
        <w:t>6）支持引用平台中其他用户创建的智能体，在引用时，智能体的使用数据会反馈统计到智能体来源课程中。</w:t>
      </w:r>
    </w:p>
    <w:p w14:paraId="582530CD">
      <w:pPr>
        <w:spacing w:line="360" w:lineRule="auto"/>
        <w:ind w:firstLine="400"/>
        <w:jc w:val="left"/>
        <w:rPr>
          <w:rFonts w:ascii="宋体" w:hAnsi="宋体" w:cs="宋体"/>
          <w:kern w:val="0"/>
          <w:szCs w:val="21"/>
        </w:rPr>
      </w:pPr>
      <w:r>
        <w:rPr>
          <w:rFonts w:hint="eastAsia" w:ascii="宋体" w:hAnsi="宋体" w:cs="宋体"/>
          <w:kern w:val="0"/>
          <w:szCs w:val="21"/>
        </w:rPr>
        <w:t>7）引导式智能体：深度融合经典教育学理论与人工智能技术，以苏格拉底式提问法和布鲁姆认知模型为核心方法论，构建出层次清晰、目标明确的学习引导体系。该智能体围绕布鲁姆认知六层次——记忆、理解、应用、分析、评价和创造——系统性地设计提问路径，通过精心编排的问题序列激发学习者思考，帮助其逐步实现从浅层知识识记到深层批判性思维与创造性应用的能力跃迁。</w:t>
      </w:r>
    </w:p>
    <w:p w14:paraId="0423AE6F">
      <w:pPr>
        <w:spacing w:line="360" w:lineRule="auto"/>
        <w:ind w:firstLine="400"/>
        <w:jc w:val="left"/>
        <w:rPr>
          <w:rFonts w:ascii="宋体" w:hAnsi="宋体" w:cs="宋体"/>
          <w:kern w:val="0"/>
          <w:szCs w:val="21"/>
        </w:rPr>
      </w:pPr>
      <w:r>
        <w:rPr>
          <w:rFonts w:hint="eastAsia" w:ascii="宋体" w:hAnsi="宋体" w:cs="宋体"/>
          <w:kern w:val="0"/>
          <w:szCs w:val="21"/>
        </w:rPr>
        <w:t>8）课程思政设计智能体：支持根据课程内容，生成思政案例和教学设计方案。</w:t>
      </w:r>
    </w:p>
    <w:p w14:paraId="4F2E1E1D">
      <w:pPr>
        <w:spacing w:line="360" w:lineRule="auto"/>
        <w:ind w:firstLine="400"/>
        <w:jc w:val="left"/>
        <w:rPr>
          <w:rFonts w:ascii="宋体" w:hAnsi="宋体" w:cs="宋体"/>
          <w:kern w:val="0"/>
          <w:szCs w:val="21"/>
        </w:rPr>
      </w:pPr>
      <w:r>
        <w:rPr>
          <w:rFonts w:hint="eastAsia" w:ascii="宋体" w:hAnsi="宋体" w:cs="宋体"/>
          <w:kern w:val="0"/>
          <w:szCs w:val="21"/>
        </w:rPr>
        <w:t>9）个性化学习规划师智能体：为支持根据学生学习目标为学生设计科学合理的学习路径。</w:t>
      </w:r>
    </w:p>
    <w:p w14:paraId="759ABFE2">
      <w:pPr>
        <w:spacing w:line="360" w:lineRule="auto"/>
        <w:ind w:firstLine="400"/>
        <w:jc w:val="left"/>
        <w:rPr>
          <w:rFonts w:ascii="宋体" w:hAnsi="宋体" w:cs="宋体"/>
          <w:kern w:val="0"/>
          <w:szCs w:val="21"/>
        </w:rPr>
      </w:pPr>
      <w:r>
        <w:rPr>
          <w:rFonts w:hint="eastAsia" w:ascii="宋体" w:hAnsi="宋体" w:cs="宋体"/>
          <w:kern w:val="0"/>
          <w:szCs w:val="21"/>
        </w:rPr>
        <w:t>10）答题辅导助教智能体：支持根据学生提出的问题，提供详细解题步骤和思路分析。</w:t>
      </w:r>
    </w:p>
    <w:p w14:paraId="45A5128F">
      <w:pPr>
        <w:spacing w:line="360" w:lineRule="auto"/>
        <w:jc w:val="left"/>
        <w:rPr>
          <w:rFonts w:ascii="宋体" w:hAnsi="宋体" w:cs="宋体"/>
          <w:szCs w:val="21"/>
        </w:rPr>
      </w:pPr>
      <w:r>
        <w:rPr>
          <w:rFonts w:hint="eastAsia" w:ascii="宋体" w:hAnsi="宋体" w:cs="宋体"/>
          <w:szCs w:val="21"/>
        </w:rPr>
        <w:t>4. AI工具箱</w:t>
      </w:r>
    </w:p>
    <w:p w14:paraId="0EC2C4C3">
      <w:pPr>
        <w:spacing w:line="360" w:lineRule="auto"/>
        <w:ind w:firstLine="400"/>
        <w:jc w:val="left"/>
        <w:rPr>
          <w:rFonts w:ascii="宋体" w:hAnsi="宋体" w:cs="宋体"/>
          <w:kern w:val="0"/>
          <w:szCs w:val="21"/>
        </w:rPr>
      </w:pPr>
      <w:r>
        <w:rPr>
          <w:rFonts w:hint="eastAsia" w:ascii="宋体" w:hAnsi="宋体" w:cs="宋体"/>
          <w:kern w:val="0"/>
          <w:szCs w:val="21"/>
        </w:rPr>
        <w:t>1）支持根据知识点推荐相关学术资源，包括但不限于视频、论文、学术报告等。AI能够实现对公开领域及第三方资源的搜索与发现，如校外慕课、学术文献、网站资源等，用户可通过点击快速跳转至相关链接。支持可以实现推荐来源的个性化设置，用户可自主选择推荐内容的来源，并定制常用网站的关注模块。</w:t>
      </w:r>
    </w:p>
    <w:p w14:paraId="0DA77FFC">
      <w:pPr>
        <w:spacing w:line="360" w:lineRule="auto"/>
        <w:ind w:firstLine="400"/>
        <w:jc w:val="left"/>
        <w:rPr>
          <w:rFonts w:ascii="宋体" w:hAnsi="宋体" w:cs="宋体"/>
          <w:kern w:val="0"/>
          <w:szCs w:val="21"/>
        </w:rPr>
      </w:pPr>
      <w:r>
        <w:rPr>
          <w:rFonts w:hint="eastAsia" w:ascii="宋体" w:hAnsi="宋体" w:cs="宋体"/>
          <w:kern w:val="0"/>
          <w:szCs w:val="21"/>
        </w:rPr>
        <w:t>2）支持从既往发布的作业测验、学习任务或话题讨论中提取学生作业或考试内容，分析其重复率，从而实现学习行为的监测与评估。</w:t>
      </w:r>
    </w:p>
    <w:p w14:paraId="40E2FB9E">
      <w:pPr>
        <w:spacing w:line="360" w:lineRule="auto"/>
        <w:ind w:firstLine="400"/>
        <w:jc w:val="left"/>
        <w:rPr>
          <w:rFonts w:ascii="宋体" w:hAnsi="宋体" w:cs="宋体"/>
          <w:kern w:val="0"/>
          <w:szCs w:val="21"/>
        </w:rPr>
      </w:pPr>
      <w:r>
        <w:rPr>
          <w:rFonts w:hint="eastAsia" w:ascii="宋体" w:hAnsi="宋体" w:cs="宋体"/>
          <w:kern w:val="0"/>
          <w:szCs w:val="21"/>
        </w:rPr>
        <w:t>3）支持总结用户在一周内的教学和AI使用情况，包括AI指令、工具及智能体的使用频率，以及教学任务发布与课堂表现数据。页面支持指出用户在课堂互动和传统教学方式中可能存在的利用不足，并支持自由检索查看往期周报，能够根据既往和当前周内数据提出平衡技术与传统教学的建议，以优化学生参与度和学习体验。</w:t>
      </w:r>
    </w:p>
    <w:p w14:paraId="5EDBEA11">
      <w:pPr>
        <w:spacing w:line="360" w:lineRule="auto"/>
        <w:ind w:firstLine="400"/>
        <w:jc w:val="left"/>
        <w:rPr>
          <w:rFonts w:ascii="宋体" w:hAnsi="宋体" w:cs="宋体"/>
          <w:kern w:val="0"/>
          <w:szCs w:val="21"/>
        </w:rPr>
      </w:pPr>
      <w:r>
        <w:rPr>
          <w:rFonts w:hint="eastAsia" w:ascii="宋体" w:hAnsi="宋体" w:cs="宋体"/>
          <w:kern w:val="0"/>
          <w:szCs w:val="21"/>
        </w:rPr>
        <w:t>4）支持利用AI一键生成知识点思政案例，助力课程备课，支持针对课程内容以搜索框形式发布AI生成思政案例指令，支持查看AI动态推荐的不少于5条的课程思政点列表并点击操作，支持查看一个月内AI生成思政案例的历史记录，包括思政点及不少于三行的内容预览。</w:t>
      </w:r>
    </w:p>
    <w:p w14:paraId="23F400E6">
      <w:pPr>
        <w:spacing w:line="360" w:lineRule="auto"/>
        <w:ind w:firstLine="400"/>
        <w:jc w:val="left"/>
        <w:rPr>
          <w:rFonts w:ascii="宋体" w:hAnsi="宋体" w:cs="宋体"/>
          <w:kern w:val="0"/>
          <w:szCs w:val="21"/>
        </w:rPr>
      </w:pPr>
      <w:r>
        <w:rPr>
          <w:rFonts w:hint="eastAsia" w:ascii="宋体" w:hAnsi="宋体" w:cs="宋体"/>
          <w:kern w:val="0"/>
          <w:szCs w:val="21"/>
        </w:rPr>
        <w:t>5）支持针对每个思政案例生成任务，支持查看至少一个AI思政案例的详情内容，包含案例序号、与知识点结合的案例名称、详细文本内容描述、思政元素的分点提炼与逐点论证说明，以及教学价值的分点分析。支持在线所见内容以Word文本格式一键导出，进行二次编辑。</w:t>
      </w:r>
    </w:p>
    <w:p w14:paraId="1381353C">
      <w:pPr>
        <w:spacing w:line="360" w:lineRule="auto"/>
        <w:ind w:firstLine="400"/>
        <w:jc w:val="left"/>
        <w:rPr>
          <w:rFonts w:ascii="宋体" w:hAnsi="宋体" w:cs="宋体"/>
          <w:kern w:val="0"/>
          <w:szCs w:val="21"/>
        </w:rPr>
      </w:pPr>
      <w:r>
        <w:rPr>
          <w:rFonts w:hint="eastAsia" w:ascii="宋体" w:hAnsi="宋体" w:cs="宋体"/>
          <w:kern w:val="0"/>
          <w:szCs w:val="21"/>
        </w:rPr>
        <w:t>6）支持AI出题功能支持根据知识点及参考内容两种出题模式。根据知识点出题模式支持教师针对教学课程图谱中选择指定知识点（一套题中最多支持选择3个知识点），系统参考知识点教学内容生成与知识点相关的题目，该出题模式支持普通模式及知识库模式两种模式；根据参考内容出题模式支持自定义的文本描述或上传的参考资料，基于相关内容生成题目。两种出题模式皆支持单选题、多选题、判断题、填空题四种题型下的单一题型出题及混合式题型出题。</w:t>
      </w:r>
    </w:p>
    <w:p w14:paraId="671474A5">
      <w:pPr>
        <w:spacing w:line="360" w:lineRule="auto"/>
        <w:ind w:firstLine="400"/>
        <w:jc w:val="left"/>
        <w:rPr>
          <w:rFonts w:ascii="宋体" w:hAnsi="宋体" w:cs="宋体"/>
          <w:kern w:val="0"/>
          <w:szCs w:val="21"/>
        </w:rPr>
      </w:pPr>
      <w:r>
        <w:rPr>
          <w:rFonts w:hint="eastAsia" w:ascii="宋体" w:hAnsi="宋体" w:cs="宋体"/>
          <w:kern w:val="0"/>
          <w:szCs w:val="21"/>
        </w:rPr>
        <w:t>7）根据课程的学科特性，支持出编程题、出医学A1-A4题型等多种出题模式。</w:t>
      </w:r>
    </w:p>
    <w:p w14:paraId="4A701FF7">
      <w:pPr>
        <w:spacing w:line="360" w:lineRule="auto"/>
        <w:ind w:firstLine="400"/>
        <w:jc w:val="left"/>
        <w:rPr>
          <w:rFonts w:ascii="宋体" w:hAnsi="宋体" w:cs="宋体"/>
          <w:kern w:val="0"/>
          <w:szCs w:val="21"/>
        </w:rPr>
      </w:pPr>
      <w:r>
        <w:rPr>
          <w:rFonts w:hint="eastAsia" w:ascii="宋体" w:hAnsi="宋体" w:cs="宋体"/>
          <w:kern w:val="0"/>
          <w:szCs w:val="21"/>
        </w:rPr>
        <w:t>8）出题不合适可一键切换模式生成全新题目。</w:t>
      </w:r>
    </w:p>
    <w:p w14:paraId="78D9A78F">
      <w:pPr>
        <w:spacing w:line="360" w:lineRule="auto"/>
        <w:ind w:firstLine="400"/>
        <w:jc w:val="left"/>
        <w:rPr>
          <w:rFonts w:ascii="宋体" w:hAnsi="宋体" w:cs="宋体"/>
          <w:kern w:val="0"/>
          <w:szCs w:val="21"/>
        </w:rPr>
      </w:pPr>
      <w:r>
        <w:rPr>
          <w:rFonts w:hint="eastAsia" w:ascii="宋体" w:hAnsi="宋体" w:cs="宋体"/>
          <w:kern w:val="0"/>
          <w:szCs w:val="21"/>
        </w:rPr>
        <w:t>9）所有题目或单个题目均支持重新生成和加入题库，点击加入题库时可对题干、答案、解析、类型、难度、相关知识点、标签进行编辑或设置，同时支持跳过此题、保存并退出、保存并添加下一题三种操作。支持题目均一键导出与二次编辑。（提供所投真实产品的功能截图证明材料）</w:t>
      </w:r>
    </w:p>
    <w:p w14:paraId="40BAF22D">
      <w:pPr>
        <w:spacing w:line="360" w:lineRule="auto"/>
        <w:ind w:firstLine="400"/>
        <w:jc w:val="left"/>
        <w:rPr>
          <w:rFonts w:ascii="宋体" w:hAnsi="宋体" w:cs="宋体"/>
          <w:kern w:val="0"/>
          <w:szCs w:val="21"/>
        </w:rPr>
      </w:pPr>
      <w:r>
        <w:rPr>
          <w:rFonts w:hint="eastAsia" w:ascii="宋体" w:hAnsi="宋体" w:cs="宋体"/>
          <w:kern w:val="0"/>
          <w:szCs w:val="21"/>
        </w:rPr>
        <w:t>10）支持AI批阅功能跳转至教学任务工具中的题库，通过手动新增、Word导入、Excel导入三种形式新增题目，支持进行试题的标签管理、题目去重、OCR识别、试题导出，导出试题支持以Excel形式下载保存在本地。同时支持通过题目ID、题目关键词、试题类型、试题标签、审批人、审核状态、解析状态、关联状态、关联知识点、题目序号范围、OCR识别状态、题型、难度、题目来源进行题目筛选。针对题目维度，支持题目详情查阅及批量进行题目编辑、知识点关联、试题类型设置、标签设置等个性化设置。针对单选题、多选题、判断题，AI批阅工具将依据答案进行自动批阅，针对问答题及翻译题，支持教师前往对应题目设置AI采分点，AI批阅工具将依据采分点进行试题的自动批阅，如AI会对每一个采分点给出评语与对应分数，同时AI会基于当前答案给予建议分数，并给出合理理由，用户可根据需求对分数进行调整。</w:t>
      </w:r>
    </w:p>
    <w:p w14:paraId="17B2DDBA">
      <w:pPr>
        <w:spacing w:line="360" w:lineRule="auto"/>
        <w:ind w:firstLine="400"/>
        <w:jc w:val="left"/>
        <w:rPr>
          <w:rFonts w:ascii="宋体" w:hAnsi="宋体" w:cs="宋体"/>
          <w:kern w:val="0"/>
          <w:szCs w:val="21"/>
        </w:rPr>
      </w:pPr>
      <w:r>
        <w:rPr>
          <w:rFonts w:hint="eastAsia" w:ascii="宋体" w:hAnsi="宋体" w:cs="宋体"/>
          <w:kern w:val="0"/>
          <w:szCs w:val="21"/>
        </w:rPr>
        <w:t>11）支持根据输入内容整合并分析海量的科研数据，包括各大论文库中的研究成果，通过自然语言处理和机器学习算法，提取出关键的科学知识点，并根据其被引用频率、研究热度等指标进行权重排序，教学者可以迅速把握课程在某一领域内的核心概念和发展脉络。</w:t>
      </w:r>
    </w:p>
    <w:p w14:paraId="328A3B85">
      <w:pPr>
        <w:spacing w:line="360" w:lineRule="auto"/>
        <w:ind w:firstLine="400"/>
        <w:jc w:val="left"/>
        <w:rPr>
          <w:rFonts w:ascii="宋体" w:hAnsi="宋体" w:cs="宋体"/>
          <w:kern w:val="0"/>
          <w:szCs w:val="21"/>
        </w:rPr>
      </w:pPr>
      <w:r>
        <w:rPr>
          <w:rFonts w:hint="eastAsia" w:ascii="宋体" w:hAnsi="宋体" w:cs="宋体"/>
          <w:kern w:val="0"/>
          <w:szCs w:val="21"/>
        </w:rPr>
        <w:t>12）支持统计并分析特定主题或关键词下的论文数量，随时间变化的趋势，以及这些论文的来源、作者、机构等详细信息。AI还能够根据用户的兴趣和研究方向，智能推荐相关的电子书资源。这些电子书可能包含最新的科研成果、经典的学术著作或跨学科的综合论述，有助于科研人员拓宽视野、深化理解。</w:t>
      </w:r>
    </w:p>
    <w:p w14:paraId="33945795">
      <w:pPr>
        <w:spacing w:line="360" w:lineRule="auto"/>
        <w:ind w:firstLine="400"/>
        <w:jc w:val="left"/>
        <w:rPr>
          <w:rFonts w:ascii="宋体" w:hAnsi="宋体" w:cs="宋体"/>
          <w:kern w:val="0"/>
          <w:szCs w:val="21"/>
        </w:rPr>
      </w:pPr>
      <w:r>
        <w:rPr>
          <w:rFonts w:hint="eastAsia" w:ascii="宋体" w:hAnsi="宋体" w:cs="宋体"/>
          <w:kern w:val="0"/>
          <w:szCs w:val="21"/>
        </w:rPr>
        <w:t>13）支持创建PPT支持通过列表勾选知识点、新增上传文件、生成教案进行一键PPT生成。知识点列表路径，可查询完整章节及知识点名称，并能够以章节为单位收缩，自由勾选知识点，勾选内容支持同步呈现、保留斟酌，并进行二次删除和添加，以确定最终目标知识点；文件生成模式，除传统文档外，支持识别思维导图等轻量化文件，支持一键拖拽或查询文件路径找寻文件；生成教案模式支持直接勾选目标教案。</w:t>
      </w:r>
    </w:p>
    <w:p w14:paraId="64E4567E">
      <w:pPr>
        <w:spacing w:line="360" w:lineRule="auto"/>
        <w:ind w:firstLine="400"/>
        <w:jc w:val="left"/>
        <w:rPr>
          <w:rFonts w:ascii="宋体" w:hAnsi="宋体" w:cs="宋体"/>
          <w:kern w:val="0"/>
          <w:szCs w:val="21"/>
        </w:rPr>
      </w:pPr>
      <w:r>
        <w:rPr>
          <w:rFonts w:hint="eastAsia" w:ascii="宋体" w:hAnsi="宋体" w:cs="宋体"/>
          <w:kern w:val="0"/>
          <w:szCs w:val="21"/>
        </w:rPr>
        <w:t>14）支持根据不同内容来源，AI梳理形成PPT构建大纲，分层级进行结构化的完整展示，并支持从第二层级向下进行整体收缩，便于逐层确定整体框架；支持以层级为单位进行拖拽，以及对各层级内容进行自由编辑，并实现编辑的即时自动保存。</w:t>
      </w:r>
    </w:p>
    <w:p w14:paraId="610FE39A">
      <w:pPr>
        <w:spacing w:line="360" w:lineRule="auto"/>
        <w:ind w:firstLine="400"/>
        <w:jc w:val="left"/>
        <w:rPr>
          <w:rFonts w:ascii="宋体" w:hAnsi="宋体" w:cs="宋体"/>
          <w:kern w:val="0"/>
          <w:szCs w:val="21"/>
        </w:rPr>
      </w:pPr>
      <w:r>
        <w:rPr>
          <w:rFonts w:hint="eastAsia" w:ascii="宋体" w:hAnsi="宋体" w:cs="宋体"/>
          <w:kern w:val="0"/>
          <w:szCs w:val="21"/>
        </w:rPr>
        <w:t>15）支持对AI生成PPT内容进行结果管理，对于整体不合适的进行一键删除，并配备二次确认防止误删，对于基本符合预期的内容进行一键整体导出为PPT格式，以便于进行功能丰富与个性的编辑操作；支持同步留存历史生成记录，查看历史生成内容的名称、效果及更新时间，提供多次编辑可能。</w:t>
      </w:r>
    </w:p>
    <w:p w14:paraId="56174319">
      <w:pPr>
        <w:spacing w:line="360" w:lineRule="auto"/>
        <w:ind w:firstLine="400"/>
        <w:jc w:val="left"/>
        <w:rPr>
          <w:rFonts w:ascii="宋体" w:hAnsi="宋体" w:cs="宋体"/>
          <w:kern w:val="0"/>
          <w:szCs w:val="21"/>
        </w:rPr>
      </w:pPr>
      <w:r>
        <w:rPr>
          <w:rFonts w:hint="eastAsia" w:ascii="宋体" w:hAnsi="宋体" w:cs="宋体"/>
          <w:kern w:val="0"/>
          <w:szCs w:val="21"/>
        </w:rPr>
        <w:t>16）支持通过列表查询课程已建设知识模块，勾选单个或多个目标；支持结合课程性质和目标设定，选择理论概念、方法推导、案例解析、时政热点不同的问题偏好，一键生成场景问题集；支持查看历史生成记录，包括模块名称及不少于三行的内容预览。</w:t>
      </w:r>
    </w:p>
    <w:p w14:paraId="4B3A4708">
      <w:pPr>
        <w:spacing w:line="360" w:lineRule="auto"/>
        <w:ind w:firstLine="400"/>
        <w:jc w:val="left"/>
        <w:rPr>
          <w:rFonts w:ascii="宋体" w:hAnsi="宋体" w:cs="宋体"/>
          <w:szCs w:val="21"/>
        </w:rPr>
      </w:pPr>
      <w:r>
        <w:rPr>
          <w:rFonts w:hint="eastAsia" w:ascii="宋体" w:hAnsi="宋体" w:cs="宋体"/>
          <w:kern w:val="0"/>
          <w:szCs w:val="21"/>
        </w:rPr>
        <w:t>17）支持通过AI技术自动构建知识点教案，通过AI技术，针对教学目标、教学重点难点、教学内容、教学方法、案例引入、扩展阅读、知识点测评等内容一键进行自动构建，每类信息自动构建不少于3条。</w:t>
      </w:r>
    </w:p>
    <w:p w14:paraId="5B90338D">
      <w:pPr>
        <w:pStyle w:val="5"/>
        <w:ind w:firstLine="0" w:firstLineChars="0"/>
        <w:jc w:val="both"/>
        <w:rPr>
          <w:rFonts w:hAnsi="宋体" w:cs="宋体"/>
          <w:bCs w:val="0"/>
          <w:sz w:val="21"/>
          <w:szCs w:val="21"/>
        </w:rPr>
      </w:pPr>
      <w:r>
        <w:rPr>
          <w:rFonts w:hint="eastAsia" w:hAnsi="宋体" w:cs="宋体"/>
          <w:bCs w:val="0"/>
          <w:sz w:val="21"/>
          <w:szCs w:val="21"/>
        </w:rPr>
        <w:t>（三）教学空间服务</w:t>
      </w:r>
    </w:p>
    <w:p w14:paraId="29D2B5D6">
      <w:pPr>
        <w:spacing w:line="360" w:lineRule="auto"/>
        <w:rPr>
          <w:rFonts w:ascii="宋体" w:hAnsi="宋体" w:cs="宋体"/>
          <w:szCs w:val="21"/>
        </w:rPr>
      </w:pPr>
      <w:r>
        <w:rPr>
          <w:rFonts w:hint="eastAsia" w:ascii="宋体" w:hAnsi="宋体" w:cs="宋体"/>
          <w:szCs w:val="21"/>
        </w:rPr>
        <w:t>1. 教学工作台</w:t>
      </w:r>
    </w:p>
    <w:p w14:paraId="5FD533B0">
      <w:pPr>
        <w:pStyle w:val="161"/>
        <w:widowControl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1）支持搭建教师端个人工作空间，提供班级管理、发布任务、教学观测等功能。</w:t>
      </w:r>
    </w:p>
    <w:p w14:paraId="72BC58C5">
      <w:pPr>
        <w:pStyle w:val="161"/>
        <w:widowControl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2） 支持在教学空间中，快速开启教学活动，教学活动包含：完善课程内容、创建教学班级、发布教学任务、学生自主测试、PPT智能备课、发布课后测验、学生成绩管理、课程教学观测、学生画像分析等相关内容。</w:t>
      </w:r>
    </w:p>
    <w:p w14:paraId="2949E796">
      <w:pPr>
        <w:pStyle w:val="161"/>
        <w:widowControl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3）支持用户通过完善课程内容，进入到课程中，根据教学需求，对已有知识体系进行内容增加、修改、关联等相关操作。</w:t>
      </w:r>
    </w:p>
    <w:p w14:paraId="6D74337B">
      <w:pPr>
        <w:pStyle w:val="161"/>
        <w:widowControl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4）支持用户根据教学需要，针对学生进行班级创建，创建班级后系统可跟踪班级情况。</w:t>
      </w:r>
    </w:p>
    <w:p w14:paraId="696F0982">
      <w:pPr>
        <w:pStyle w:val="161"/>
        <w:widowControl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5）支持用户发布课前任务相关教学活动，通过教学任务发布，学生了解课前必须掌握的知识点名字、内容及相关掌握情况，老师可实时查看知识点任务学习数据。</w:t>
      </w:r>
    </w:p>
    <w:p w14:paraId="322307C1">
      <w:pPr>
        <w:spacing w:after="156" w:afterLines="50" w:line="360" w:lineRule="auto"/>
        <w:ind w:firstLine="400"/>
        <w:jc w:val="left"/>
        <w:rPr>
          <w:rFonts w:ascii="宋体" w:hAnsi="宋体" w:cs="宋体"/>
          <w:kern w:val="0"/>
          <w:szCs w:val="21"/>
        </w:rPr>
      </w:pPr>
      <w:r>
        <w:rPr>
          <w:rFonts w:hint="eastAsia" w:ascii="宋体" w:hAnsi="宋体" w:cs="宋体"/>
          <w:kern w:val="0"/>
          <w:szCs w:val="21"/>
        </w:rPr>
        <w:t>6）支持统计教学班级情况，包含班级内的教学运行数据、教学运行周期数据、知识点平均掌握度与学习趋势、课程内全部知识点的掌握度情况与薄弱知识点情况。</w:t>
      </w:r>
    </w:p>
    <w:p w14:paraId="4BAC3CEC">
      <w:pPr>
        <w:spacing w:after="156" w:afterLines="50" w:line="360" w:lineRule="auto"/>
        <w:ind w:firstLine="400"/>
        <w:jc w:val="left"/>
        <w:rPr>
          <w:rFonts w:ascii="宋体" w:hAnsi="宋体" w:cs="宋体"/>
          <w:kern w:val="0"/>
          <w:szCs w:val="21"/>
        </w:rPr>
      </w:pPr>
      <w:r>
        <w:rPr>
          <w:rFonts w:hint="eastAsia" w:ascii="宋体" w:hAnsi="宋体" w:cs="宋体"/>
          <w:szCs w:val="21"/>
        </w:rPr>
        <w:t>7</w:t>
      </w:r>
      <w:r>
        <w:rPr>
          <w:rFonts w:hint="eastAsia" w:ascii="宋体" w:hAnsi="宋体" w:cs="宋体"/>
          <w:kern w:val="0"/>
          <w:szCs w:val="21"/>
        </w:rPr>
        <w:t>）支持智慧课程展示AI智慧空间，在AI智慧空间中统计本课程下相关智能体、课程特色AI指令、AI工具的总体使用情况，如：智能体总使用次数、建设学校、智能体的引导对话、同时统计本课程下所有智能体的累积使用次数。在课程特色AI指令中，构建不少于12个AI指令，同时统计每个AI指令总体的学习使用人次情况，并通过AI助教统计本课程AI指令累计使用次数。在AI工具中，构建不少于12个AI工具，并统计每个AI教学工具的使用次数。</w:t>
      </w:r>
    </w:p>
    <w:p w14:paraId="4CD688E8">
      <w:pPr>
        <w:spacing w:after="156" w:afterLines="50" w:line="360" w:lineRule="auto"/>
        <w:ind w:firstLine="400"/>
        <w:jc w:val="left"/>
        <w:rPr>
          <w:rFonts w:ascii="宋体" w:hAnsi="宋体" w:cs="宋体"/>
          <w:kern w:val="0"/>
          <w:szCs w:val="21"/>
        </w:rPr>
      </w:pPr>
      <w:r>
        <w:rPr>
          <w:rFonts w:hint="eastAsia" w:ascii="宋体" w:hAnsi="宋体" w:cs="宋体"/>
          <w:szCs w:val="21"/>
        </w:rPr>
        <w:t>8</w:t>
      </w:r>
      <w:r>
        <w:rPr>
          <w:rFonts w:hint="eastAsia" w:ascii="宋体" w:hAnsi="宋体" w:cs="宋体"/>
          <w:kern w:val="0"/>
          <w:szCs w:val="21"/>
        </w:rPr>
        <w:t>）支持动态统计本课程中AI工具使用排行榜，根据每天实际课程使用情况，动态获取用户常用AI工具，并通过排行榜帮助管理者了解课程当前运行情况。</w:t>
      </w:r>
    </w:p>
    <w:p w14:paraId="1E849106">
      <w:pPr>
        <w:spacing w:after="156" w:afterLines="50" w:line="360" w:lineRule="auto"/>
        <w:ind w:firstLine="400"/>
        <w:jc w:val="left"/>
        <w:rPr>
          <w:rFonts w:ascii="宋体" w:hAnsi="宋体" w:cs="宋体"/>
          <w:kern w:val="0"/>
          <w:szCs w:val="21"/>
        </w:rPr>
      </w:pPr>
      <w:r>
        <w:rPr>
          <w:rFonts w:hint="eastAsia" w:ascii="宋体" w:hAnsi="宋体" w:cs="宋体"/>
          <w:kern w:val="0"/>
          <w:szCs w:val="21"/>
        </w:rPr>
        <w:t>9）围绕课程构建课程知识图谱，打造基于知识图谱的智慧课程，课程建设完成后上线全国共享平台，此类知识图谱智慧课程支持共享选课申请，对于非本课程团队人员，可通过学校选课申请渠道，申请使用本课程教学内容，申报时，可支持通过学校维度为学生选课，也可通过个人维度申请学生选课。（提供所投真实产品的功能截图证明材料）</w:t>
      </w:r>
    </w:p>
    <w:p w14:paraId="1DC7EDBF">
      <w:pPr>
        <w:spacing w:after="156" w:afterLines="50" w:line="360" w:lineRule="auto"/>
        <w:ind w:firstLine="400"/>
        <w:jc w:val="left"/>
        <w:rPr>
          <w:rFonts w:ascii="宋体" w:hAnsi="宋体" w:cs="宋体"/>
          <w:kern w:val="0"/>
          <w:szCs w:val="21"/>
        </w:rPr>
      </w:pPr>
      <w:r>
        <w:rPr>
          <w:rFonts w:hint="eastAsia" w:ascii="宋体" w:hAnsi="宋体" w:cs="宋体"/>
          <w:kern w:val="0"/>
          <w:szCs w:val="21"/>
        </w:rPr>
        <w:t>10）支持学生自主练习并观测数据，学生可针对每个知识点维度进行题目专项练习，练习内容包含单选题、多选题、判断题、填空题等，并通过系统自动批阅，换算学生对于知识掌握的情况，给予学生响应反馈。</w:t>
      </w:r>
    </w:p>
    <w:p w14:paraId="4DEB2302">
      <w:pPr>
        <w:spacing w:after="156" w:afterLines="50" w:line="360" w:lineRule="auto"/>
        <w:ind w:firstLine="400"/>
        <w:jc w:val="left"/>
        <w:rPr>
          <w:rFonts w:ascii="宋体" w:hAnsi="宋体" w:cs="宋体"/>
          <w:kern w:val="0"/>
          <w:szCs w:val="21"/>
        </w:rPr>
      </w:pPr>
      <w:r>
        <w:rPr>
          <w:rFonts w:hint="eastAsia" w:ascii="宋体" w:hAnsi="宋体" w:cs="宋体"/>
          <w:kern w:val="0"/>
          <w:szCs w:val="21"/>
        </w:rPr>
        <w:t>11）支持问题收集管理，班级内学生与AI助教的互动，系统均可进行收集，收集内容包含：提问者姓名、班级、问题记录、AI回复记录、评价等。</w:t>
      </w:r>
    </w:p>
    <w:p w14:paraId="54BC2F45">
      <w:pPr>
        <w:spacing w:after="156" w:afterLines="50" w:line="360" w:lineRule="auto"/>
        <w:ind w:firstLine="400"/>
        <w:jc w:val="left"/>
        <w:rPr>
          <w:rFonts w:ascii="宋体" w:hAnsi="宋体" w:cs="宋体"/>
          <w:kern w:val="0"/>
          <w:szCs w:val="21"/>
        </w:rPr>
      </w:pPr>
      <w:r>
        <w:rPr>
          <w:rFonts w:hint="eastAsia" w:ascii="宋体" w:hAnsi="宋体" w:cs="宋体"/>
          <w:szCs w:val="21"/>
        </w:rPr>
        <w:t>12</w:t>
      </w:r>
      <w:r>
        <w:rPr>
          <w:rFonts w:hint="eastAsia" w:ascii="宋体" w:hAnsi="宋体" w:cs="宋体"/>
          <w:kern w:val="0"/>
          <w:szCs w:val="21"/>
        </w:rPr>
        <w:t>）支持AI助教满意度分析，通过智慧课程日常各个应用场景，收集学生对于课程AI助教的使用满意度，并通过百分比进行满意度分析。</w:t>
      </w:r>
    </w:p>
    <w:p w14:paraId="67254057">
      <w:pPr>
        <w:spacing w:after="156" w:afterLines="50" w:line="360" w:lineRule="auto"/>
        <w:ind w:firstLine="400"/>
        <w:jc w:val="left"/>
        <w:rPr>
          <w:rFonts w:ascii="宋体" w:hAnsi="宋体" w:cs="宋体"/>
          <w:kern w:val="0"/>
          <w:szCs w:val="21"/>
        </w:rPr>
      </w:pPr>
      <w:r>
        <w:rPr>
          <w:rFonts w:hint="eastAsia" w:ascii="宋体" w:hAnsi="宋体" w:cs="宋体"/>
          <w:kern w:val="0"/>
          <w:szCs w:val="21"/>
        </w:rPr>
        <w:t>13）支持AI形象设定，教学团队可自定义本课程AI助教的个性化形象，在形象设定时，可上传jpg或png文件，更换成功后，本课程所有大模型应用场景均使用教学团队替换完成后的形象。</w:t>
      </w:r>
    </w:p>
    <w:p w14:paraId="059C4638">
      <w:pPr>
        <w:spacing w:after="156" w:afterLines="50" w:line="360" w:lineRule="auto"/>
        <w:ind w:firstLine="400"/>
        <w:jc w:val="left"/>
        <w:rPr>
          <w:rFonts w:ascii="宋体" w:hAnsi="宋体" w:cs="宋体"/>
          <w:kern w:val="0"/>
          <w:szCs w:val="21"/>
        </w:rPr>
      </w:pPr>
      <w:r>
        <w:rPr>
          <w:rFonts w:hint="eastAsia" w:ascii="宋体" w:hAnsi="宋体" w:cs="宋体"/>
          <w:szCs w:val="21"/>
        </w:rPr>
        <w:t>14</w:t>
      </w:r>
      <w:r>
        <w:rPr>
          <w:rFonts w:hint="eastAsia" w:ascii="宋体" w:hAnsi="宋体" w:cs="宋体"/>
          <w:kern w:val="0"/>
          <w:szCs w:val="21"/>
        </w:rPr>
        <w:t>）支持总成绩规则自定义设置，教学团队可通过多种维度进行成绩规则设置，如：掌握度、学习进度、作业测验、考试、小组作业、签到出勤率、课堂活动、话题讨论、线下成绩，上述所有维度金课设置百分比综合评判教学效果。</w:t>
      </w:r>
    </w:p>
    <w:p w14:paraId="05CEEEDE">
      <w:pPr>
        <w:spacing w:after="156" w:afterLines="50" w:line="360" w:lineRule="auto"/>
        <w:ind w:firstLine="400"/>
        <w:jc w:val="left"/>
        <w:rPr>
          <w:rFonts w:ascii="宋体" w:hAnsi="宋体" w:cs="宋体"/>
          <w:kern w:val="0"/>
          <w:szCs w:val="21"/>
        </w:rPr>
      </w:pPr>
      <w:r>
        <w:rPr>
          <w:rFonts w:hint="eastAsia" w:ascii="宋体" w:hAnsi="宋体" w:cs="宋体"/>
          <w:szCs w:val="21"/>
        </w:rPr>
        <w:t>15</w:t>
      </w:r>
      <w:r>
        <w:rPr>
          <w:rFonts w:hint="eastAsia" w:ascii="宋体" w:hAnsi="宋体" w:cs="宋体"/>
          <w:kern w:val="0"/>
          <w:szCs w:val="21"/>
        </w:rPr>
        <w:t>）支持掌握度与学习进度配置，设置时可制定学习进度规则，如：仅必学资源计入计算、必学资源及选学资源均计入计算、都不计入等。同时也可设置免考知识点，设置完成后，该知识点不会计入到学生总体成绩评估。</w:t>
      </w:r>
    </w:p>
    <w:p w14:paraId="562BF9C4">
      <w:pPr>
        <w:spacing w:after="156" w:afterLines="50" w:line="360" w:lineRule="auto"/>
        <w:ind w:firstLine="400"/>
        <w:jc w:val="left"/>
        <w:rPr>
          <w:rFonts w:ascii="宋体" w:hAnsi="宋体" w:cs="宋体"/>
          <w:kern w:val="0"/>
          <w:szCs w:val="21"/>
        </w:rPr>
      </w:pPr>
      <w:r>
        <w:rPr>
          <w:rFonts w:hint="eastAsia" w:ascii="宋体" w:hAnsi="宋体" w:cs="宋体"/>
          <w:szCs w:val="21"/>
        </w:rPr>
        <w:t>16</w:t>
      </w:r>
      <w:r>
        <w:rPr>
          <w:rFonts w:hint="eastAsia" w:ascii="宋体" w:hAnsi="宋体" w:cs="宋体"/>
          <w:kern w:val="0"/>
          <w:szCs w:val="21"/>
        </w:rPr>
        <w:t>）支持AI自动生成【图文结合】的教学运行报告，教学运行报告需给予教学实际学校进行详细合理的分析，分析维度需包含：教学运行数据总览、班级运行数据报告（班级建设情况总览、教学班级学习情况排名）、教学运行数据概况（知识点学习情况汇总、课堂教学情况汇总）、知识点掌握度详情分析（知识点学习情况概况、知识点学习情况总览、班级下知识点学习情况详情）、课程考核情况统计（班级发布任务情况统计、班级下作业测试任务完成情况统计、班级下考试任务完成情况统计、班级下课程总成绩情况统计）、能力达成度分析、AI工具使用情况分析，分析报告内容需不低于【5000】字。（提供所投真实产品的功能截图证明材料）</w:t>
      </w:r>
    </w:p>
    <w:p w14:paraId="27261953">
      <w:pPr>
        <w:spacing w:after="156" w:afterLines="50" w:line="360" w:lineRule="auto"/>
        <w:ind w:firstLine="400"/>
        <w:jc w:val="left"/>
        <w:rPr>
          <w:rFonts w:ascii="宋体" w:hAnsi="宋体" w:cs="宋体"/>
          <w:kern w:val="0"/>
          <w:szCs w:val="21"/>
        </w:rPr>
      </w:pPr>
      <w:r>
        <w:rPr>
          <w:rFonts w:hint="eastAsia" w:ascii="宋体" w:hAnsi="宋体" w:cs="宋体"/>
          <w:szCs w:val="21"/>
        </w:rPr>
        <w:t>17</w:t>
      </w:r>
      <w:r>
        <w:rPr>
          <w:rFonts w:hint="eastAsia" w:ascii="宋体" w:hAnsi="宋体" w:cs="宋体"/>
          <w:kern w:val="0"/>
          <w:szCs w:val="21"/>
        </w:rPr>
        <w:t>）支持在班级教学中AI助教为教学管理提供tips提示，根据班级实际学习情况，AI助教会检索学习相对较差较难的知识点，协助教学团队挖掘课程教学的漏洞。</w:t>
      </w:r>
    </w:p>
    <w:p w14:paraId="4520951B">
      <w:pPr>
        <w:spacing w:after="156" w:afterLines="50" w:line="360" w:lineRule="auto"/>
        <w:jc w:val="left"/>
        <w:rPr>
          <w:rFonts w:ascii="宋体" w:hAnsi="宋体" w:cs="宋体"/>
          <w:kern w:val="0"/>
          <w:szCs w:val="21"/>
        </w:rPr>
      </w:pPr>
      <w:r>
        <w:rPr>
          <w:rFonts w:hint="eastAsia" w:ascii="宋体" w:hAnsi="宋体" w:cs="宋体"/>
          <w:szCs w:val="21"/>
        </w:rPr>
        <w:t>2. 教学管理</w:t>
      </w:r>
    </w:p>
    <w:p w14:paraId="4F0BF852">
      <w:pPr>
        <w:spacing w:line="360" w:lineRule="auto"/>
        <w:ind w:firstLine="400"/>
        <w:jc w:val="left"/>
        <w:rPr>
          <w:rFonts w:ascii="宋体" w:hAnsi="宋体" w:cs="宋体"/>
          <w:kern w:val="0"/>
          <w:szCs w:val="21"/>
        </w:rPr>
      </w:pPr>
      <w:r>
        <w:rPr>
          <w:rFonts w:hint="eastAsia" w:ascii="宋体" w:hAnsi="宋体" w:cs="宋体"/>
          <w:kern w:val="0"/>
          <w:szCs w:val="21"/>
        </w:rPr>
        <w:t>1）支持分析每日学习情况简讯：包括今日学生上线数量、老师上线数量、教师团队建设数据，（包括：教授、副教授、讲师、助教等身份）、学生学习相关数据（学生学习总人次、参与学生人数、参与率）。</w:t>
      </w:r>
    </w:p>
    <w:p w14:paraId="1AB82185">
      <w:pPr>
        <w:spacing w:line="360" w:lineRule="auto"/>
        <w:ind w:firstLine="400"/>
        <w:jc w:val="left"/>
        <w:rPr>
          <w:rFonts w:ascii="宋体" w:hAnsi="宋体" w:cs="宋体"/>
          <w:kern w:val="0"/>
          <w:szCs w:val="21"/>
        </w:rPr>
      </w:pPr>
      <w:r>
        <w:rPr>
          <w:rFonts w:hint="eastAsia" w:ascii="宋体" w:hAnsi="宋体" w:cs="宋体"/>
          <w:kern w:val="0"/>
          <w:szCs w:val="21"/>
        </w:rPr>
        <w:t>2）支持分析课程图谱运行成果：分析数据包括稳定运行时长、人均学习进度、平均掌握度、学生学习合格率等。</w:t>
      </w:r>
    </w:p>
    <w:p w14:paraId="60E66056">
      <w:pPr>
        <w:spacing w:line="360" w:lineRule="auto"/>
        <w:ind w:firstLine="400"/>
        <w:jc w:val="left"/>
        <w:rPr>
          <w:rFonts w:ascii="宋体" w:hAnsi="宋体" w:cs="宋体"/>
          <w:kern w:val="0"/>
          <w:szCs w:val="21"/>
        </w:rPr>
      </w:pPr>
      <w:r>
        <w:rPr>
          <w:rFonts w:hint="eastAsia" w:ascii="宋体" w:hAnsi="宋体" w:cs="宋体"/>
          <w:kern w:val="0"/>
          <w:szCs w:val="21"/>
        </w:rPr>
        <w:t>3）支持分析课程学习变化趋势：分析包括学习人次变化趋势、人均学习进度变化趋势、平均掌握度变化趋势、合格率变化趋势等。</w:t>
      </w:r>
    </w:p>
    <w:p w14:paraId="7BB29AB7">
      <w:pPr>
        <w:spacing w:line="360" w:lineRule="auto"/>
        <w:ind w:firstLine="400"/>
        <w:jc w:val="left"/>
        <w:rPr>
          <w:rFonts w:ascii="宋体" w:hAnsi="宋体" w:cs="宋体"/>
          <w:szCs w:val="21"/>
        </w:rPr>
      </w:pPr>
      <w:r>
        <w:rPr>
          <w:rFonts w:hint="eastAsia" w:ascii="宋体" w:hAnsi="宋体" w:cs="宋体"/>
          <w:szCs w:val="21"/>
        </w:rPr>
        <w:t>4）可接入慕课中进行校外共享：可接入慕课中为选课院校及学生提供图谱学习服务，并积累图谱选课数及学习人数等运行数据。</w:t>
      </w:r>
    </w:p>
    <w:p w14:paraId="68F015E0">
      <w:pPr>
        <w:spacing w:line="360" w:lineRule="auto"/>
        <w:ind w:firstLine="400"/>
        <w:jc w:val="left"/>
        <w:rPr>
          <w:rFonts w:ascii="宋体" w:hAnsi="宋体" w:cs="宋体"/>
          <w:szCs w:val="21"/>
        </w:rPr>
      </w:pPr>
      <w:r>
        <w:rPr>
          <w:rFonts w:hint="eastAsia" w:ascii="宋体" w:hAnsi="宋体" w:cs="宋体"/>
          <w:kern w:val="0"/>
          <w:szCs w:val="21"/>
        </w:rPr>
        <w:t>5</w:t>
      </w:r>
      <w:r>
        <w:rPr>
          <w:rFonts w:hint="eastAsia" w:ascii="宋体" w:hAnsi="宋体" w:cs="宋体"/>
          <w:szCs w:val="21"/>
        </w:rPr>
        <w:t>）具备教师端和学生端独立小程序。学生可一键登录小程序进行学习：已经进入知识图谱班级的学生，进入微信小程序后的学习内容包含：动态知识图谱查看、教学任务查看、知识点资源学习、知识点题目练习、考试题目练习等。其中小程序必须包含课程薄弱题练习系统，AI可根据学生当前学习状态推荐错题、收藏题目、相关知识点等内容，在小程序中观看课程中老师推送给学生的教学课件，可进入到课堂教学参与问卷、投票、抢答、头脑风暴等。同时支持教师通过教学小程序一键控制PPT插件内容，包括课堂教学与学生管理，其中课堂教学可进行签到、点名、投票、抢答等相关操作与记录，并且可将教学内容投屏到电脑中进行教学，同时教师在微信小程序中可对学生进行统一管理，管理范围包括预览班级中所有学生的姓名、学号、院校、身份与入班时间，查看学生每一位学生的知识点掌握度、学习进度等信息。</w:t>
      </w:r>
    </w:p>
    <w:p w14:paraId="3234D4AB">
      <w:pPr>
        <w:spacing w:line="360" w:lineRule="auto"/>
        <w:ind w:firstLine="400"/>
        <w:jc w:val="left"/>
        <w:rPr>
          <w:rFonts w:ascii="宋体" w:hAnsi="宋体" w:cs="宋体"/>
          <w:kern w:val="0"/>
          <w:szCs w:val="21"/>
        </w:rPr>
      </w:pPr>
      <w:r>
        <w:rPr>
          <w:rFonts w:hint="eastAsia" w:ascii="宋体" w:hAnsi="宋体" w:cs="宋体"/>
          <w:kern w:val="0"/>
          <w:szCs w:val="21"/>
        </w:rPr>
        <w:t>6）支持分组教学，支持通过分组教学完成课程活动，分组教学模式需包含随机分组、教师分组、学生自由分组，其中在随机分组中，用户可指定小组数量，系统可根据小组数量动态分布学生完成分组；老师指定分组时可选择小组数量，系统会自动评估在当前分组中每个组的预计人员数量，并且可设置小组组长；学生自由分组时，在老师的规定时间内，学生可在系统中，自建小组口令，通过进入小组后，请将口令分享给组员，组员录入口令后即可进入小组完成组队，在小组中，老师可根据组去分配作业任务，根据组去安排课堂活动与根据组去提交相关任务。</w:t>
      </w:r>
    </w:p>
    <w:p w14:paraId="3E810B50">
      <w:pPr>
        <w:spacing w:line="360" w:lineRule="auto"/>
        <w:ind w:firstLine="400"/>
        <w:jc w:val="left"/>
        <w:rPr>
          <w:rFonts w:ascii="宋体" w:hAnsi="宋体" w:cs="宋体"/>
          <w:kern w:val="0"/>
          <w:szCs w:val="21"/>
        </w:rPr>
      </w:pPr>
      <w:r>
        <w:rPr>
          <w:rFonts w:hint="eastAsia" w:ascii="宋体" w:hAnsi="宋体" w:cs="宋体"/>
          <w:kern w:val="0"/>
          <w:szCs w:val="21"/>
        </w:rPr>
        <w:t>7)支持课程学生管理：支持导入学生名单，可查看导入失败学生名单，供老师联系学生及时注册认证用户。可移除导入错误的学生。</w:t>
      </w:r>
    </w:p>
    <w:p w14:paraId="1B518C31">
      <w:pPr>
        <w:spacing w:line="360" w:lineRule="auto"/>
        <w:ind w:firstLine="400"/>
        <w:jc w:val="left"/>
        <w:rPr>
          <w:rFonts w:ascii="宋体" w:hAnsi="宋体" w:cs="宋体"/>
          <w:kern w:val="0"/>
          <w:szCs w:val="21"/>
        </w:rPr>
      </w:pPr>
      <w:r>
        <w:rPr>
          <w:rFonts w:hint="eastAsia" w:ascii="宋体" w:hAnsi="宋体" w:cs="宋体"/>
          <w:kern w:val="0"/>
          <w:szCs w:val="21"/>
        </w:rPr>
        <w:t>8)支持课程运行总体数据统计：可查看课程学习的学生数量、课程的人均学习进度、全部学生已学内容掌握度平均值等数据，并且分析出各个同学的各阶段的合格率情况，人均学习进度分布与平均掌握度分布等情况。</w:t>
      </w:r>
    </w:p>
    <w:p w14:paraId="759CB671">
      <w:pPr>
        <w:spacing w:line="360" w:lineRule="auto"/>
        <w:ind w:firstLine="400"/>
        <w:jc w:val="left"/>
        <w:rPr>
          <w:rFonts w:ascii="宋体" w:hAnsi="宋体" w:cs="宋体"/>
          <w:kern w:val="0"/>
          <w:szCs w:val="21"/>
        </w:rPr>
      </w:pPr>
      <w:r>
        <w:rPr>
          <w:rFonts w:hint="eastAsia" w:ascii="宋体" w:hAnsi="宋体" w:cs="宋体"/>
          <w:kern w:val="0"/>
          <w:szCs w:val="21"/>
        </w:rPr>
        <w:t>9)支持查看学生掌握度：基于课程图谱中构建的各类知识类型，查看每一知识点的平均掌握度。支持放大、缩小、全屏，支持搜索知识点。</w:t>
      </w:r>
    </w:p>
    <w:p w14:paraId="1D32D158">
      <w:pPr>
        <w:spacing w:line="360" w:lineRule="auto"/>
        <w:ind w:firstLine="400"/>
        <w:jc w:val="left"/>
        <w:rPr>
          <w:rFonts w:ascii="宋体" w:hAnsi="宋体" w:cs="宋体"/>
          <w:kern w:val="0"/>
          <w:szCs w:val="21"/>
        </w:rPr>
      </w:pPr>
      <w:r>
        <w:rPr>
          <w:rFonts w:hint="eastAsia" w:ascii="宋体" w:hAnsi="宋体" w:cs="宋体"/>
          <w:kern w:val="0"/>
          <w:szCs w:val="21"/>
        </w:rPr>
        <w:t>10)支持查看学生学习详情：可查看课程内的每位学生的学习详情，包含学生加入课程的时间、课程内知识点的学习进度以及已学内容的掌握度。</w:t>
      </w:r>
    </w:p>
    <w:p w14:paraId="68BCCC3D">
      <w:pPr>
        <w:spacing w:line="360" w:lineRule="auto"/>
        <w:ind w:firstLine="400"/>
        <w:jc w:val="left"/>
        <w:rPr>
          <w:rFonts w:ascii="宋体" w:hAnsi="宋体" w:cs="宋体"/>
          <w:kern w:val="0"/>
          <w:szCs w:val="21"/>
        </w:rPr>
      </w:pPr>
      <w:r>
        <w:rPr>
          <w:rFonts w:hint="eastAsia" w:ascii="宋体" w:hAnsi="宋体" w:cs="宋体"/>
          <w:kern w:val="0"/>
          <w:szCs w:val="21"/>
        </w:rPr>
        <w:t>11)支持查看知识点学习详情：可查看每个知识点的学生完成率以及近一周的提升情况，可查看每个知识点的平均掌握度以及不同范围掌握度的学生分布情况。</w:t>
      </w:r>
    </w:p>
    <w:p w14:paraId="4FF2CB25">
      <w:pPr>
        <w:spacing w:line="360" w:lineRule="auto"/>
        <w:ind w:firstLine="400"/>
        <w:jc w:val="left"/>
        <w:rPr>
          <w:rFonts w:ascii="宋体" w:hAnsi="宋体" w:cs="宋体"/>
          <w:kern w:val="0"/>
          <w:szCs w:val="21"/>
        </w:rPr>
      </w:pPr>
      <w:r>
        <w:rPr>
          <w:rFonts w:hint="eastAsia" w:ascii="宋体" w:hAnsi="宋体" w:cs="宋体"/>
          <w:kern w:val="0"/>
          <w:szCs w:val="21"/>
        </w:rPr>
        <w:t>12）支持查看学生个人分析报告：可查看学生的所有知识点学习的平均掌握度、资料总学习时长、总练习时长、总练习次数。可查看学生对每个知识点学习的掌握度以及班级的平均掌握度，用于比较学生在课程内的当前学习水平。可查看学生对每个知识点的资料学习时长、练习时长、练习次数。</w:t>
      </w:r>
    </w:p>
    <w:p w14:paraId="4F92C0AB">
      <w:pPr>
        <w:spacing w:line="360" w:lineRule="auto"/>
        <w:jc w:val="left"/>
        <w:rPr>
          <w:rFonts w:ascii="宋体" w:hAnsi="宋体" w:cs="宋体"/>
          <w:szCs w:val="21"/>
        </w:rPr>
      </w:pPr>
      <w:r>
        <w:rPr>
          <w:rFonts w:hint="eastAsia" w:ascii="宋体" w:hAnsi="宋体" w:cs="宋体"/>
          <w:szCs w:val="21"/>
        </w:rPr>
        <w:t>3. PPT插件备课及网页端教学</w:t>
      </w:r>
    </w:p>
    <w:p w14:paraId="3D6BF5F6">
      <w:pPr>
        <w:spacing w:line="360" w:lineRule="auto"/>
        <w:ind w:firstLine="400"/>
        <w:jc w:val="left"/>
        <w:rPr>
          <w:rFonts w:ascii="宋体" w:hAnsi="宋体" w:cs="宋体"/>
          <w:kern w:val="0"/>
          <w:szCs w:val="21"/>
        </w:rPr>
      </w:pPr>
      <w:r>
        <w:rPr>
          <w:rFonts w:hint="eastAsia" w:ascii="宋体" w:hAnsi="宋体" w:cs="宋体"/>
          <w:kern w:val="0"/>
          <w:szCs w:val="21"/>
        </w:rPr>
        <w:t>1）支持应用 PPT 插件添加智慧课程资源（知识点/资源/题目/视频/问题点），备课后上传课件库并在web端授课；支持从共享/个人课件库及本地导入课件，学生端同步查看课件翻页。教师端调用课堂互动工具（签到/点名/抢答/投票/问卷/头脑风暴）并查看情况，学生端实时接收互动提醒。</w:t>
      </w:r>
    </w:p>
    <w:p w14:paraId="1D11C350">
      <w:pPr>
        <w:spacing w:line="360" w:lineRule="auto"/>
        <w:ind w:firstLine="400"/>
        <w:jc w:val="left"/>
        <w:rPr>
          <w:rFonts w:ascii="宋体" w:hAnsi="宋体" w:cs="宋体"/>
          <w:kern w:val="0"/>
          <w:szCs w:val="21"/>
        </w:rPr>
      </w:pPr>
      <w:r>
        <w:rPr>
          <w:rFonts w:hint="eastAsia" w:ascii="宋体" w:hAnsi="宋体" w:cs="宋体"/>
          <w:kern w:val="0"/>
          <w:szCs w:val="21"/>
        </w:rPr>
        <w:t>2）支持用户根据自身需要选择手机验证码登录或者微信登录等多种方式完成账号登录流程。</w:t>
      </w:r>
    </w:p>
    <w:p w14:paraId="7952472C">
      <w:pPr>
        <w:spacing w:line="360" w:lineRule="auto"/>
        <w:ind w:firstLine="400"/>
        <w:jc w:val="left"/>
        <w:rPr>
          <w:rFonts w:ascii="宋体" w:hAnsi="宋体" w:cs="宋体"/>
          <w:kern w:val="0"/>
          <w:szCs w:val="21"/>
        </w:rPr>
      </w:pPr>
      <w:r>
        <w:rPr>
          <w:rFonts w:hint="eastAsia" w:ascii="宋体" w:hAnsi="宋体" w:cs="宋体"/>
          <w:kern w:val="0"/>
          <w:szCs w:val="21"/>
        </w:rPr>
        <w:t>3）支持知识点插入成功后，教师在PPT播放页面中点击知识点按钮或者按住ctrl并单击知识点，即可打开相关教学内容进行教学。</w:t>
      </w:r>
    </w:p>
    <w:p w14:paraId="4090A899">
      <w:pPr>
        <w:spacing w:line="360" w:lineRule="auto"/>
        <w:ind w:firstLine="400"/>
        <w:jc w:val="left"/>
        <w:rPr>
          <w:rFonts w:ascii="宋体" w:hAnsi="宋体" w:cs="宋体"/>
          <w:kern w:val="0"/>
          <w:szCs w:val="21"/>
        </w:rPr>
      </w:pPr>
      <w:r>
        <w:rPr>
          <w:rFonts w:hint="eastAsia" w:ascii="宋体" w:hAnsi="宋体" w:cs="宋体"/>
          <w:kern w:val="0"/>
          <w:szCs w:val="21"/>
        </w:rPr>
        <w:t>4）支持教师在PPT播放页面中点击问题卡片按钮或者按住ctrl并单击问题卡片，即可打开相关教学内容进行教学。</w:t>
      </w:r>
    </w:p>
    <w:p w14:paraId="3D69014E">
      <w:pPr>
        <w:spacing w:line="360" w:lineRule="auto"/>
        <w:ind w:firstLine="400"/>
        <w:jc w:val="left"/>
        <w:rPr>
          <w:rFonts w:ascii="宋体" w:hAnsi="宋体" w:cs="宋体"/>
          <w:kern w:val="0"/>
          <w:szCs w:val="21"/>
        </w:rPr>
      </w:pPr>
      <w:r>
        <w:rPr>
          <w:rFonts w:hint="eastAsia" w:ascii="宋体" w:hAnsi="宋体" w:cs="宋体"/>
          <w:kern w:val="0"/>
          <w:szCs w:val="21"/>
        </w:rPr>
        <w:t>5）支持PPT教学中，教师可点击插件中的随机点名，系统根据当前班级中已经签到的学生数据，进行随机抽取，随机选择一名班级内的学生，进行后续教学活动。</w:t>
      </w:r>
    </w:p>
    <w:p w14:paraId="66A7BB4C">
      <w:pPr>
        <w:spacing w:line="360" w:lineRule="auto"/>
        <w:ind w:firstLine="400"/>
        <w:jc w:val="left"/>
        <w:rPr>
          <w:rFonts w:ascii="宋体" w:hAnsi="宋体" w:cs="宋体"/>
          <w:kern w:val="0"/>
          <w:szCs w:val="21"/>
        </w:rPr>
      </w:pPr>
      <w:r>
        <w:rPr>
          <w:rFonts w:hint="eastAsia" w:ascii="宋体" w:hAnsi="宋体" w:cs="宋体"/>
          <w:kern w:val="0"/>
          <w:szCs w:val="21"/>
        </w:rPr>
        <w:t>6）支持教师查看发布的随堂测验的答题情况，包括题目的参与人数、正确率、每个选项选择的人数，以及每位参与同学的答题记录。</w:t>
      </w:r>
    </w:p>
    <w:p w14:paraId="5B4B483D">
      <w:pPr>
        <w:spacing w:line="360" w:lineRule="auto"/>
        <w:ind w:firstLine="400"/>
        <w:jc w:val="left"/>
        <w:rPr>
          <w:rFonts w:ascii="宋体" w:hAnsi="宋体" w:cs="宋体"/>
          <w:kern w:val="0"/>
          <w:szCs w:val="21"/>
        </w:rPr>
      </w:pPr>
      <w:r>
        <w:rPr>
          <w:rFonts w:hint="eastAsia" w:ascii="宋体" w:hAnsi="宋体" w:cs="宋体"/>
          <w:kern w:val="0"/>
          <w:szCs w:val="21"/>
        </w:rPr>
        <w:t>7）支持教师查看发布的签到的课堂记录，包括已签到学生的姓名、学号、签到时间，以及未签到学生的姓名和学号。</w:t>
      </w:r>
    </w:p>
    <w:p w14:paraId="6A9186B0">
      <w:pPr>
        <w:spacing w:line="360" w:lineRule="auto"/>
        <w:ind w:firstLine="400"/>
        <w:jc w:val="left"/>
        <w:rPr>
          <w:rFonts w:ascii="宋体" w:hAnsi="宋体" w:cs="宋体"/>
          <w:kern w:val="0"/>
          <w:szCs w:val="21"/>
        </w:rPr>
      </w:pPr>
      <w:r>
        <w:rPr>
          <w:rFonts w:hint="eastAsia" w:ascii="宋体" w:hAnsi="宋体" w:cs="宋体"/>
          <w:kern w:val="0"/>
          <w:szCs w:val="21"/>
        </w:rPr>
        <w:t>8）支持教师查看发布的点名的课堂记录，包括已点名学生的姓名、学号、点名时间。</w:t>
      </w:r>
    </w:p>
    <w:p w14:paraId="56B37417">
      <w:pPr>
        <w:spacing w:line="360" w:lineRule="auto"/>
        <w:jc w:val="left"/>
        <w:rPr>
          <w:rFonts w:ascii="宋体" w:hAnsi="宋体" w:cs="宋体"/>
          <w:szCs w:val="21"/>
        </w:rPr>
      </w:pPr>
      <w:r>
        <w:rPr>
          <w:rFonts w:hint="eastAsia" w:ascii="宋体" w:hAnsi="宋体" w:cs="宋体"/>
          <w:szCs w:val="21"/>
        </w:rPr>
        <w:t>4. 教学课件库</w:t>
      </w:r>
    </w:p>
    <w:p w14:paraId="0E213AB3">
      <w:pPr>
        <w:spacing w:line="360" w:lineRule="auto"/>
        <w:ind w:firstLine="400"/>
        <w:jc w:val="left"/>
        <w:rPr>
          <w:rFonts w:ascii="宋体" w:hAnsi="宋体" w:cs="宋体"/>
          <w:kern w:val="0"/>
          <w:szCs w:val="21"/>
        </w:rPr>
      </w:pPr>
      <w:r>
        <w:rPr>
          <w:rFonts w:hint="eastAsia" w:ascii="宋体" w:hAnsi="宋体" w:cs="宋体"/>
          <w:kern w:val="0"/>
          <w:szCs w:val="21"/>
        </w:rPr>
        <w:t>1）支持进行教学资源的分类管理，如课件、教案等不同类型的资源进行分区管理。</w:t>
      </w:r>
    </w:p>
    <w:p w14:paraId="1BC5F7E9">
      <w:pPr>
        <w:spacing w:line="360" w:lineRule="auto"/>
        <w:ind w:firstLine="400"/>
        <w:jc w:val="left"/>
        <w:rPr>
          <w:rFonts w:ascii="宋体" w:hAnsi="宋体" w:cs="宋体"/>
          <w:kern w:val="0"/>
          <w:szCs w:val="21"/>
        </w:rPr>
      </w:pPr>
      <w:r>
        <w:rPr>
          <w:rFonts w:hint="eastAsia" w:ascii="宋体" w:hAnsi="宋体" w:cs="宋体"/>
          <w:kern w:val="0"/>
          <w:szCs w:val="21"/>
        </w:rPr>
        <w:t>2）课件管理功能：支持在课件管理空间创建不同的文件夹，上传课件保存至对应的文件夹中，支持教师设置课件分享的范围，须至少保证可共享至课程老师及私密查看两种保存形式，上传的课件可以作为资源学习任务发布给学生，也可以直接按照班级分享给学生进行学习。（提供所投真实产品的功能截图证明材料）</w:t>
      </w:r>
    </w:p>
    <w:p w14:paraId="12937CEC">
      <w:pPr>
        <w:spacing w:line="360" w:lineRule="auto"/>
        <w:ind w:firstLine="400"/>
        <w:jc w:val="left"/>
        <w:rPr>
          <w:rFonts w:ascii="宋体" w:hAnsi="宋体" w:cs="宋体"/>
          <w:kern w:val="0"/>
          <w:szCs w:val="21"/>
        </w:rPr>
      </w:pPr>
      <w:r>
        <w:rPr>
          <w:rFonts w:hint="eastAsia" w:ascii="宋体" w:hAnsi="宋体" w:cs="宋体"/>
          <w:kern w:val="0"/>
          <w:szCs w:val="21"/>
        </w:rPr>
        <w:t>3）教案管理功能:支持在教案管理空间创建不同的文件夹，上传教案保存至对应的文件夹中，支持教师设置教案分享的范围，须至少保证可共享至课程老师及私密查看两种保存形式。</w:t>
      </w:r>
    </w:p>
    <w:p w14:paraId="1FD15E44">
      <w:pPr>
        <w:spacing w:line="360" w:lineRule="auto"/>
        <w:ind w:firstLine="400"/>
        <w:jc w:val="left"/>
        <w:rPr>
          <w:rFonts w:ascii="宋体" w:hAnsi="宋体" w:cs="宋体"/>
          <w:kern w:val="0"/>
          <w:szCs w:val="21"/>
        </w:rPr>
      </w:pPr>
      <w:r>
        <w:rPr>
          <w:rFonts w:hint="eastAsia" w:ascii="宋体" w:hAnsi="宋体" w:cs="宋体"/>
          <w:kern w:val="0"/>
          <w:szCs w:val="21"/>
        </w:rPr>
        <w:t>4）上传的教学资源支持教师查看、移动文件夹、下载、删除等操作。</w:t>
      </w:r>
    </w:p>
    <w:p w14:paraId="02CCBA44">
      <w:pPr>
        <w:ind w:firstLine="400"/>
        <w:jc w:val="left"/>
        <w:rPr>
          <w:rFonts w:ascii="宋体" w:hAnsi="宋体" w:cs="宋体"/>
          <w:kern w:val="0"/>
          <w:szCs w:val="21"/>
        </w:rPr>
      </w:pPr>
      <w:r>
        <w:rPr>
          <w:rFonts w:hint="eastAsia" w:ascii="宋体" w:hAnsi="宋体" w:cs="宋体"/>
          <w:kern w:val="0"/>
          <w:szCs w:val="21"/>
        </w:rPr>
        <w:t>5）支持直接调用AI工具创建课件及及教案丰富教学资源库。</w:t>
      </w:r>
    </w:p>
    <w:p w14:paraId="4AEDC51F">
      <w:pPr>
        <w:pStyle w:val="5"/>
        <w:ind w:firstLine="0" w:firstLineChars="0"/>
        <w:jc w:val="both"/>
        <w:rPr>
          <w:rFonts w:hAnsi="宋体" w:cs="宋体"/>
          <w:bCs w:val="0"/>
          <w:sz w:val="21"/>
          <w:szCs w:val="21"/>
        </w:rPr>
      </w:pPr>
      <w:r>
        <w:rPr>
          <w:rFonts w:hint="eastAsia" w:hAnsi="宋体" w:cs="宋体"/>
          <w:bCs w:val="0"/>
          <w:sz w:val="21"/>
          <w:szCs w:val="21"/>
        </w:rPr>
        <w:t>（四）学习空间服务</w:t>
      </w:r>
    </w:p>
    <w:p w14:paraId="0D169519">
      <w:pPr>
        <w:spacing w:line="360" w:lineRule="auto"/>
        <w:rPr>
          <w:rFonts w:ascii="宋体" w:hAnsi="宋体" w:cs="宋体"/>
          <w:szCs w:val="21"/>
        </w:rPr>
      </w:pPr>
      <w:r>
        <w:rPr>
          <w:rFonts w:hint="eastAsia" w:ascii="宋体" w:hAnsi="宋体" w:cs="宋体"/>
          <w:szCs w:val="21"/>
        </w:rPr>
        <w:t>1.AI 学伴</w:t>
      </w:r>
    </w:p>
    <w:p w14:paraId="33DE8489">
      <w:pPr>
        <w:spacing w:line="360" w:lineRule="auto"/>
        <w:ind w:firstLine="400"/>
        <w:jc w:val="left"/>
        <w:rPr>
          <w:rFonts w:ascii="宋体" w:hAnsi="宋体" w:cs="宋体"/>
          <w:kern w:val="0"/>
          <w:szCs w:val="21"/>
        </w:rPr>
      </w:pPr>
      <w:r>
        <w:rPr>
          <w:rFonts w:hint="eastAsia" w:ascii="宋体" w:hAnsi="宋体" w:cs="宋体"/>
          <w:kern w:val="0"/>
          <w:szCs w:val="21"/>
        </w:rPr>
        <w:t>1）AI课程视频导览：支持AI对教学视频进行智能切片解析，自动生成分段视频对摘要标题及内容简介，并标注分段的起始时长。</w:t>
      </w:r>
    </w:p>
    <w:p w14:paraId="3B743A4A">
      <w:pPr>
        <w:spacing w:line="360" w:lineRule="auto"/>
        <w:ind w:firstLine="400"/>
        <w:jc w:val="left"/>
        <w:rPr>
          <w:rFonts w:ascii="宋体" w:hAnsi="宋体" w:cs="宋体"/>
          <w:kern w:val="0"/>
          <w:szCs w:val="21"/>
        </w:rPr>
      </w:pPr>
      <w:r>
        <w:rPr>
          <w:rFonts w:hint="eastAsia" w:ascii="宋体" w:hAnsi="宋体" w:cs="宋体"/>
          <w:kern w:val="0"/>
          <w:szCs w:val="21"/>
        </w:rPr>
        <w:t>2）支持学生对学习视频内不理解的内容直接进行举手提问，【举手】后系统自动截取当前视频页面，并自动发送给AI学伴进行提问，AI学伴会给予知识库内容进行答疑解释。支持学生选择语音播放回答内容、重新生成回答、复制回答、点赞、点踩等操作，AI学伴的声音、形象均为授课老师的数字人形象。</w:t>
      </w:r>
    </w:p>
    <w:p w14:paraId="2C4291FD">
      <w:pPr>
        <w:spacing w:line="360" w:lineRule="auto"/>
        <w:ind w:firstLine="400"/>
        <w:jc w:val="left"/>
        <w:rPr>
          <w:rFonts w:ascii="宋体" w:hAnsi="宋体" w:cs="宋体"/>
          <w:kern w:val="0"/>
          <w:szCs w:val="21"/>
        </w:rPr>
      </w:pPr>
      <w:r>
        <w:rPr>
          <w:rFonts w:hint="eastAsia" w:ascii="宋体" w:hAnsi="宋体" w:cs="宋体"/>
          <w:kern w:val="0"/>
          <w:szCs w:val="21"/>
        </w:rPr>
        <w:t>3）支持学生调用AI指令进行快速提问，支持通过替换指令内的关键命令进行个性化需求的提问，支持提供不少于10个默认AI指令。</w:t>
      </w:r>
    </w:p>
    <w:p w14:paraId="3C0C7368">
      <w:pPr>
        <w:spacing w:line="360" w:lineRule="auto"/>
        <w:ind w:firstLine="400"/>
        <w:jc w:val="left"/>
        <w:rPr>
          <w:rFonts w:ascii="宋体" w:hAnsi="宋体" w:cs="宋体"/>
          <w:kern w:val="0"/>
          <w:szCs w:val="21"/>
        </w:rPr>
      </w:pPr>
      <w:r>
        <w:rPr>
          <w:rFonts w:hint="eastAsia" w:ascii="宋体" w:hAnsi="宋体" w:cs="宋体"/>
          <w:kern w:val="0"/>
          <w:szCs w:val="21"/>
        </w:rPr>
        <w:t>4）支持提供【跨校资源推荐】的快捷操作，支持AI学伴完成讲解后自动推荐内外部高校的相关知识点教学资源，点击可直接跳转查看推荐资源。</w:t>
      </w:r>
    </w:p>
    <w:p w14:paraId="752281E8">
      <w:pPr>
        <w:spacing w:line="360" w:lineRule="auto"/>
        <w:ind w:firstLine="400"/>
        <w:jc w:val="left"/>
        <w:rPr>
          <w:rFonts w:ascii="宋体" w:hAnsi="宋体" w:cs="宋体"/>
          <w:kern w:val="0"/>
          <w:szCs w:val="21"/>
        </w:rPr>
      </w:pPr>
      <w:r>
        <w:rPr>
          <w:rFonts w:hint="eastAsia" w:ascii="宋体" w:hAnsi="宋体" w:cs="宋体"/>
          <w:kern w:val="0"/>
          <w:szCs w:val="21"/>
        </w:rPr>
        <w:t>5）支持提供【视频解读】的快捷操作，AI学伴自动提炼当前视频中的重要内容和关键信息，提供详细说明并推荐内外部学习资源，点击可直接跳转查看推荐资源。</w:t>
      </w:r>
    </w:p>
    <w:p w14:paraId="1913EC65">
      <w:pPr>
        <w:spacing w:line="360" w:lineRule="auto"/>
        <w:ind w:firstLine="400"/>
        <w:jc w:val="left"/>
        <w:rPr>
          <w:rFonts w:ascii="宋体" w:hAnsi="宋体" w:cs="宋体"/>
          <w:kern w:val="0"/>
          <w:szCs w:val="21"/>
        </w:rPr>
      </w:pPr>
      <w:r>
        <w:rPr>
          <w:rFonts w:hint="eastAsia" w:ascii="宋体" w:hAnsi="宋体" w:cs="宋体"/>
          <w:kern w:val="0"/>
          <w:szCs w:val="21"/>
        </w:rPr>
        <w:t>6）支持AI学伴提供陪练，支持根据学生学习进度及当前学习的知识内容进行出题，标注题目的难度等级，学生提交回答后需进行批改，提供正确答案及解析。</w:t>
      </w:r>
    </w:p>
    <w:p w14:paraId="027C9DB8">
      <w:pPr>
        <w:spacing w:line="360" w:lineRule="auto"/>
        <w:ind w:firstLine="400"/>
        <w:jc w:val="left"/>
        <w:rPr>
          <w:rFonts w:ascii="宋体" w:hAnsi="宋体" w:cs="宋体"/>
          <w:kern w:val="0"/>
          <w:szCs w:val="21"/>
        </w:rPr>
      </w:pPr>
      <w:r>
        <w:rPr>
          <w:rFonts w:hint="eastAsia" w:ascii="宋体" w:hAnsi="宋体" w:cs="宋体"/>
          <w:kern w:val="0"/>
          <w:szCs w:val="21"/>
        </w:rPr>
        <w:t>7）支持提供【知识点学习路径】的快捷操作，基于知识库为学生提供当前知识点的学习路径，用可视化图谱形式呈现当前知识点前后关联支撑的知识点，支持点击跳转至知识点路径上任一知识点详情页，查看知识点描述、资源、掌握度、关联的能力及达成度情况，可以直接去提升知识点掌握度。（提供所投真实产品的功能截图证明材料）</w:t>
      </w:r>
    </w:p>
    <w:p w14:paraId="302B5931">
      <w:pPr>
        <w:spacing w:line="360" w:lineRule="auto"/>
        <w:jc w:val="left"/>
        <w:rPr>
          <w:rFonts w:ascii="宋体" w:hAnsi="宋体" w:cs="宋体"/>
          <w:szCs w:val="21"/>
        </w:rPr>
      </w:pPr>
      <w:r>
        <w:rPr>
          <w:rFonts w:hint="eastAsia" w:ascii="宋体" w:hAnsi="宋体" w:cs="宋体"/>
          <w:szCs w:val="21"/>
        </w:rPr>
        <w:t>2.智能体</w:t>
      </w:r>
    </w:p>
    <w:p w14:paraId="0B3270D8">
      <w:pPr>
        <w:spacing w:line="360" w:lineRule="auto"/>
        <w:ind w:firstLine="400"/>
        <w:jc w:val="left"/>
        <w:rPr>
          <w:rFonts w:ascii="宋体" w:hAnsi="宋体" w:cs="宋体"/>
          <w:kern w:val="0"/>
          <w:szCs w:val="21"/>
        </w:rPr>
      </w:pPr>
      <w:r>
        <w:rPr>
          <w:rFonts w:hint="eastAsia" w:ascii="宋体" w:hAnsi="宋体" w:cs="宋体"/>
          <w:kern w:val="0"/>
          <w:szCs w:val="21"/>
        </w:rPr>
        <w:t>1）支持学生与智能体进行互动，每个智能体提供指导问题，学生觉得不合适的知识通过换一换切换问题。</w:t>
      </w:r>
    </w:p>
    <w:p w14:paraId="230A66A3">
      <w:pPr>
        <w:spacing w:line="360" w:lineRule="auto"/>
        <w:ind w:firstLine="400"/>
        <w:jc w:val="left"/>
        <w:rPr>
          <w:rFonts w:ascii="宋体" w:hAnsi="宋体" w:cs="宋体"/>
          <w:kern w:val="0"/>
          <w:szCs w:val="21"/>
        </w:rPr>
      </w:pPr>
      <w:r>
        <w:rPr>
          <w:rFonts w:hint="eastAsia" w:ascii="宋体" w:hAnsi="宋体" w:cs="宋体"/>
          <w:kern w:val="0"/>
          <w:szCs w:val="21"/>
        </w:rPr>
        <w:t>2）支持通过语音输入与智能体进行对话，智能体回答问题是自动查询关联知识点及关联问题图谱，并优先展示，支持点击跳转至对应知识点及问题详情页，支持语音播放智能体回答的内容，支持复制回答、对回复内容点赞、点踩等操作。</w:t>
      </w:r>
    </w:p>
    <w:p w14:paraId="451703B1">
      <w:pPr>
        <w:spacing w:line="360" w:lineRule="auto"/>
        <w:ind w:firstLine="400"/>
        <w:jc w:val="left"/>
        <w:rPr>
          <w:rFonts w:ascii="宋体" w:hAnsi="宋体" w:cs="宋体"/>
          <w:kern w:val="0"/>
          <w:szCs w:val="21"/>
        </w:rPr>
      </w:pPr>
      <w:r>
        <w:rPr>
          <w:rFonts w:hint="eastAsia" w:ascii="宋体" w:hAnsi="宋体" w:cs="宋体"/>
          <w:kern w:val="0"/>
          <w:szCs w:val="21"/>
        </w:rPr>
        <w:t>3）支持查看历史会话，历史对话按时间排布，点击后回到历史对话页面，支持继续进行对话提问。</w:t>
      </w:r>
    </w:p>
    <w:p w14:paraId="12B45C34">
      <w:pPr>
        <w:spacing w:line="360" w:lineRule="auto"/>
        <w:jc w:val="left"/>
        <w:rPr>
          <w:rFonts w:ascii="宋体" w:hAnsi="宋体" w:cs="宋体"/>
          <w:szCs w:val="21"/>
        </w:rPr>
      </w:pPr>
      <w:r>
        <w:rPr>
          <w:rFonts w:hint="eastAsia" w:ascii="宋体" w:hAnsi="宋体" w:cs="宋体"/>
          <w:szCs w:val="21"/>
        </w:rPr>
        <w:t>3.AI互动室</w:t>
      </w:r>
    </w:p>
    <w:p w14:paraId="13ED568A">
      <w:pPr>
        <w:spacing w:line="360" w:lineRule="auto"/>
        <w:ind w:firstLine="400"/>
        <w:jc w:val="left"/>
        <w:rPr>
          <w:rFonts w:ascii="宋体" w:hAnsi="宋体" w:cs="宋体"/>
          <w:kern w:val="0"/>
          <w:szCs w:val="21"/>
        </w:rPr>
      </w:pPr>
      <w:r>
        <w:rPr>
          <w:rFonts w:hint="eastAsia" w:ascii="宋体" w:hAnsi="宋体" w:cs="宋体"/>
          <w:kern w:val="0"/>
          <w:szCs w:val="21"/>
        </w:rPr>
        <w:t>1）支持在AI互动室内基于不同的话题进行互动，支持灵活切换互动话题进行回答讨论，支持通过语音输入进行互动。支持在没有思路的情况下，指定一位AI伙伴来回复或者让他们随机回复，AI伙伴支持不同的性格角色，支持对每个角色提供性格特质说明，支持为AI伙伴进行点赞和点踩动作，支持显示每个AI伙伴的受欢迎情况。</w:t>
      </w:r>
    </w:p>
    <w:p w14:paraId="4376C9AD">
      <w:pPr>
        <w:pStyle w:val="5"/>
        <w:ind w:firstLine="0" w:firstLineChars="0"/>
        <w:jc w:val="left"/>
        <w:rPr>
          <w:rFonts w:hAnsi="宋体" w:cs="宋体"/>
          <w:sz w:val="21"/>
          <w:szCs w:val="21"/>
        </w:rPr>
      </w:pPr>
      <w:r>
        <w:rPr>
          <w:rFonts w:hint="eastAsia" w:hAnsi="宋体" w:cs="宋体"/>
          <w:bCs w:val="0"/>
          <w:sz w:val="21"/>
          <w:szCs w:val="21"/>
        </w:rPr>
        <w:t>（五）知识点素材创作输出工具</w:t>
      </w:r>
    </w:p>
    <w:p w14:paraId="17669081">
      <w:pPr>
        <w:spacing w:line="360" w:lineRule="auto"/>
        <w:ind w:firstLine="420"/>
        <w:rPr>
          <w:rFonts w:ascii="宋体" w:hAnsi="宋体" w:cs="宋体"/>
          <w:szCs w:val="21"/>
        </w:rPr>
      </w:pPr>
      <w:r>
        <w:rPr>
          <w:rFonts w:hint="eastAsia" w:ascii="宋体" w:hAnsi="宋体" w:cs="宋体"/>
          <w:szCs w:val="21"/>
        </w:rPr>
        <w:t>知识点教学资源作为智慧课程后期持续建设及教学的核心支撑载体，聚焦智慧课程资源长效完善与迭代需求，可高效完成各类知识点教学素材的后期补充、编辑优化，提供一个教学资源创作平台，支持多格式输出及日常教学场景嵌入，为知识点持续更新、资源迭代提供保障，充分补充知识点建设所需的图解、动画、交互资源等内容。具体功能参数要求如下：</w:t>
      </w:r>
    </w:p>
    <w:p w14:paraId="5DE69ACC">
      <w:pPr>
        <w:spacing w:line="360" w:lineRule="auto"/>
        <w:rPr>
          <w:rFonts w:ascii="宋体" w:hAnsi="宋体" w:cs="宋体"/>
          <w:szCs w:val="21"/>
        </w:rPr>
      </w:pPr>
      <w:r>
        <w:rPr>
          <w:rFonts w:hint="eastAsia" w:ascii="宋体" w:hAnsi="宋体" w:cs="宋体"/>
          <w:szCs w:val="21"/>
        </w:rPr>
        <w:t>1.支持多类型教学素材导入适配</w:t>
      </w:r>
    </w:p>
    <w:p w14:paraId="014BB960">
      <w:pPr>
        <w:spacing w:line="360" w:lineRule="auto"/>
        <w:ind w:firstLine="400"/>
        <w:rPr>
          <w:rFonts w:ascii="宋体" w:hAnsi="宋体" w:cs="宋体"/>
          <w:szCs w:val="21"/>
        </w:rPr>
      </w:pPr>
      <w:r>
        <w:rPr>
          <w:rFonts w:hint="eastAsia" w:ascii="宋体" w:hAnsi="宋体" w:cs="宋体"/>
          <w:kern w:val="0"/>
          <w:szCs w:val="21"/>
        </w:rPr>
        <w:t>1）</w:t>
      </w:r>
      <w:r>
        <w:rPr>
          <w:rFonts w:hint="eastAsia" w:ascii="宋体" w:hAnsi="宋体" w:cs="宋体"/>
          <w:szCs w:val="21"/>
        </w:rPr>
        <w:t>支持后期知识点素材持续输出补充，兼容学院各类专业现有三维教学资源，可复用现有素材并快速扩充新增知识点内容；具备多文件合并能力，能整合异构模型为完整教学装配体，保障格式兼容、高效迭代，支撑知识点体系化完善。支持导入主流 CAD 原生格式（Creo、CATIA V5、SOLIDWORKS、NX）、工业标准交换格式（STEP、IGES、STL、SAT）、通用三维格式（FBX、OBJ、GlTF、GLB）及专业领域格式（Rhino、SketchUp）；支持 Ansys 仿真数据与 VRP 虚拟仿真数据（.vrp）导入。</w:t>
      </w:r>
    </w:p>
    <w:p w14:paraId="0C19A28F">
      <w:pPr>
        <w:spacing w:line="360" w:lineRule="auto"/>
        <w:rPr>
          <w:rFonts w:ascii="宋体" w:hAnsi="宋体" w:cs="宋体"/>
          <w:szCs w:val="21"/>
        </w:rPr>
      </w:pPr>
      <w:r>
        <w:rPr>
          <w:rFonts w:hint="eastAsia" w:ascii="宋体" w:hAnsi="宋体" w:cs="宋体"/>
          <w:szCs w:val="21"/>
        </w:rPr>
        <w:t>2.支持教学素材生成及输出要求</w:t>
      </w:r>
    </w:p>
    <w:p w14:paraId="38BF7634">
      <w:pPr>
        <w:spacing w:line="360" w:lineRule="auto"/>
        <w:ind w:firstLine="420" w:firstLineChars="200"/>
        <w:rPr>
          <w:rFonts w:ascii="宋体" w:hAnsi="宋体" w:cs="宋体"/>
          <w:kern w:val="0"/>
          <w:szCs w:val="21"/>
        </w:rPr>
      </w:pPr>
      <w:r>
        <w:rPr>
          <w:rFonts w:ascii="宋体" w:hAnsi="宋体" w:cs="宋体"/>
          <w:kern w:val="0"/>
          <w:szCs w:val="21"/>
        </w:rPr>
        <w:t>1)</w:t>
      </w:r>
      <w:r>
        <w:rPr>
          <w:rFonts w:hint="eastAsia" w:ascii="宋体" w:hAnsi="宋体" w:cs="宋体"/>
          <w:kern w:val="0"/>
          <w:szCs w:val="21"/>
        </w:rPr>
        <w:t>支持基于时间轴的3D动画制作，可制作后期新增知识点相关的动画视频、步骤演示动画，具备创建、删除、修改动画片段的完整功能；支持在动画关键帧嵌入文字注释、新增知识点说明或操作提示，信息可随动画播放自动触发显示，适配后期知识点分步讲解需求，同时支持通过点击、悬停等交互事件手动调用注释信息，可设置零件闪烁、淡入、淡出、高亮过渡等视觉特效，将交互式文本说明与特定动画事件绑定，实现后期知识点步骤指引、状态反馈功能，提升动画教学效果。</w:t>
      </w:r>
    </w:p>
    <w:p w14:paraId="0BF8F4F3">
      <w:pPr>
        <w:spacing w:line="360" w:lineRule="auto"/>
        <w:ind w:firstLine="420" w:firstLineChars="200"/>
        <w:rPr>
          <w:rFonts w:ascii="宋体" w:hAnsi="宋体" w:cs="宋体"/>
          <w:kern w:val="0"/>
          <w:szCs w:val="21"/>
        </w:rPr>
      </w:pPr>
      <w:r>
        <w:rPr>
          <w:rFonts w:ascii="宋体" w:hAnsi="宋体" w:cs="宋体"/>
          <w:kern w:val="0"/>
          <w:szCs w:val="21"/>
        </w:rPr>
        <w:t>2)</w:t>
      </w:r>
      <w:r>
        <w:rPr>
          <w:rFonts w:hint="eastAsia" w:ascii="宋体" w:hAnsi="宋体" w:cs="宋体"/>
          <w:kern w:val="0"/>
          <w:szCs w:val="21"/>
        </w:rPr>
        <w:t>内置丰富资源库支撑后期知识点素材扩容，提升制作效率：包含20+常用2D UI图像的2D UI图形库，可直接调用适配教学场景，减少后期素材制作工作量；15+高质量预设天空盒资源，可参与环境光照与反射计算，构建贴合后期新增知识点场景的虚拟环境，提升素材真实性与教学代入感；基于物理渲染（PBR）技术的高精度材质库，预置数十种常用材质，可优化后期新增知识点素材外观效果；丰富的标准化工装夹具三维模型3D工具库，支持拖拽使用及属性配置，补充后期工程类、实操类知识点素材；同时支持创建自定义资源库，可自主管理本地后期新增知识点相关素材，实现本地管理与云同步备份，确保智慧课程后期知识点建设与维护的连续性。</w:t>
      </w:r>
    </w:p>
    <w:p w14:paraId="491BB582">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具备模型轻量化处理能力，采用网格简化算法，减少多边形数量，轻量化后三角面片数量可缩减20%以上，确保后期新增的三维交互素材、虚拟仿真素材在各类教学终端流畅运行，适配后期常态化教学使用需求。</w:t>
      </w:r>
    </w:p>
    <w:p w14:paraId="3F828717">
      <w:pPr>
        <w:spacing w:line="360" w:lineRule="auto"/>
        <w:ind w:firstLine="420" w:firstLineChars="200"/>
        <w:rPr>
          <w:rFonts w:ascii="宋体" w:hAnsi="宋体" w:cs="宋体"/>
          <w:szCs w:val="21"/>
        </w:rPr>
      </w:pPr>
      <w:r>
        <w:rPr>
          <w:rFonts w:ascii="宋体" w:hAnsi="宋体" w:cs="宋体"/>
          <w:szCs w:val="21"/>
        </w:rPr>
        <w:t>4)</w:t>
      </w:r>
      <w:r>
        <w:rPr>
          <w:rFonts w:hint="eastAsia" w:ascii="宋体" w:hAnsi="宋体" w:cs="宋体"/>
          <w:szCs w:val="21"/>
        </w:rPr>
        <w:t>内置多种3D渲染模式，可根据后期知识点更新需求，灵活优化素材视觉效果，提升教学直观性，适配不同类型知识点（如结构类、外观类）的后期呈现需求，包括：平滑渲染（不带轮廓）、平滑渲染（带轮廓）、着色图解（带轮廓）、着色图解（带色）、着色图解（不带轮廓）、轮廓渲染、线框渲染、点渲染。</w:t>
      </w:r>
    </w:p>
    <w:p w14:paraId="76F48EC8">
      <w:pPr>
        <w:spacing w:line="360" w:lineRule="auto"/>
        <w:ind w:firstLine="420" w:firstLineChars="200"/>
        <w:rPr>
          <w:rFonts w:ascii="宋体" w:hAnsi="宋体" w:cs="宋体"/>
          <w:szCs w:val="21"/>
        </w:rPr>
      </w:pPr>
      <w:r>
        <w:rPr>
          <w:rFonts w:ascii="宋体" w:hAnsi="宋体" w:cs="宋体"/>
          <w:szCs w:val="21"/>
        </w:rPr>
        <w:t>5)</w:t>
      </w:r>
      <w:r>
        <w:rPr>
          <w:rFonts w:hint="eastAsia" w:ascii="宋体" w:hAnsi="宋体" w:cs="宋体"/>
          <w:szCs w:val="21"/>
        </w:rPr>
        <w:t>提供预设灯光模式，可快速优化后期新增素材的光影效果，增强知识点素材的辨识度，适配不同知识点（如细节观察类、整体呈现类）的后期光影展示需求，包括：柔和、中度、金属、重金属、强烈对比、着色图解冷/暖色调；支持自定义创建聚光灯、定向光源、点光源，并可调整其位置、方向、强度、颜色及衰减参数，满足后期素材优化的个性化需求。</w:t>
      </w:r>
    </w:p>
    <w:p w14:paraId="3850BA8B">
      <w:pPr>
        <w:spacing w:line="360" w:lineRule="auto"/>
        <w:ind w:firstLine="420" w:firstLineChars="200"/>
        <w:rPr>
          <w:rFonts w:ascii="宋体" w:hAnsi="宋体" w:cs="宋体"/>
          <w:szCs w:val="21"/>
        </w:rPr>
      </w:pPr>
      <w:r>
        <w:rPr>
          <w:rFonts w:ascii="宋体" w:hAnsi="宋体" w:cs="宋体"/>
          <w:szCs w:val="21"/>
        </w:rPr>
        <w:t>6)</w:t>
      </w:r>
      <w:r>
        <w:rPr>
          <w:rFonts w:hint="eastAsia" w:ascii="宋体" w:hAnsi="宋体" w:cs="宋体"/>
          <w:szCs w:val="21"/>
        </w:rPr>
        <w:t>支持在场景中添加2D图像，可导入后期新增的知识点相关示意图、流程图、实景图等，用于补充知识点细节、完善素材内容，支持JPG、PNG等主流图片格式的直接导入、编辑、自由缩放和移动，便于后期素材的快速维护与更新。</w:t>
      </w:r>
    </w:p>
    <w:p w14:paraId="1C3824EF">
      <w:pPr>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支持在场景中添加2D文本，可用于标注后期新增知识点名称、关键参数、操作说明等，可进行字体、字号（8-24pt）、颜色、对齐方式等格式化排版，并可调整文本框背景色、边框及透明度；支持将PNG（含透明通道）、JPG等图片作为文本框背景，创建“下一步”“播放动画”等按钮式交互控件，提升素材交互性，适配后期教学引导场景的优化需求。</w:t>
      </w:r>
    </w:p>
    <w:p w14:paraId="39458652">
      <w:pPr>
        <w:spacing w:line="360" w:lineRule="auto"/>
        <w:ind w:firstLine="420" w:firstLineChars="200"/>
        <w:rPr>
          <w:rFonts w:ascii="宋体" w:hAnsi="宋体" w:cs="宋体"/>
          <w:szCs w:val="21"/>
        </w:rPr>
      </w:pPr>
      <w:r>
        <w:rPr>
          <w:rFonts w:ascii="宋体" w:hAnsi="宋体" w:cs="宋体"/>
          <w:szCs w:val="21"/>
        </w:rPr>
        <w:t>8)</w:t>
      </w:r>
      <w:r>
        <w:rPr>
          <w:rFonts w:hint="eastAsia" w:ascii="宋体" w:hAnsi="宋体" w:cs="宋体"/>
          <w:szCs w:val="21"/>
        </w:rPr>
        <w:t>支持添加3D文本标签，可基于后期新增素材模型名称自动填充知识点相关内容，并可应用于视图和动画中，便于学生快速识别新增知识点核心内容，提升后期教学效率。</w:t>
      </w:r>
    </w:p>
    <w:p w14:paraId="6218923E">
      <w:pPr>
        <w:spacing w:line="360" w:lineRule="auto"/>
        <w:ind w:firstLine="420" w:firstLineChars="200"/>
        <w:rPr>
          <w:rFonts w:ascii="宋体" w:hAnsi="宋体" w:cs="宋体"/>
          <w:szCs w:val="21"/>
        </w:rPr>
      </w:pPr>
      <w:r>
        <w:rPr>
          <w:rFonts w:ascii="宋体" w:hAnsi="宋体" w:cs="宋体"/>
          <w:szCs w:val="21"/>
        </w:rPr>
        <w:t>9)</w:t>
      </w:r>
      <w:r>
        <w:rPr>
          <w:rFonts w:hint="eastAsia" w:ascii="宋体" w:hAnsi="宋体" w:cs="宋体"/>
          <w:szCs w:val="21"/>
        </w:rPr>
        <w:t>支持添加3D图像，可在三维空间中添加后期新增知识点相关的3D布告板（如原理说明、步骤指引），图像可随视角变化自动调整朝向，确保学生在交互过程中清晰查看新增知识点信息，助力知识点持续传递。</w:t>
      </w:r>
    </w:p>
    <w:p w14:paraId="06A3129E">
      <w:pPr>
        <w:spacing w:line="360" w:lineRule="auto"/>
        <w:ind w:firstLine="420" w:firstLineChars="200"/>
        <w:rPr>
          <w:rFonts w:ascii="宋体" w:hAnsi="宋体" w:cs="宋体"/>
          <w:szCs w:val="21"/>
        </w:rPr>
      </w:pPr>
      <w:r>
        <w:rPr>
          <w:rFonts w:ascii="宋体" w:hAnsi="宋体" w:cs="宋体"/>
          <w:szCs w:val="21"/>
        </w:rPr>
        <w:t>10)</w:t>
      </w:r>
      <w:r>
        <w:rPr>
          <w:rFonts w:hint="eastAsia" w:ascii="宋体" w:hAnsi="宋体" w:cs="宋体"/>
          <w:szCs w:val="21"/>
        </w:rPr>
        <w:t>具备智能编号功能，支持在3D模型或2D视图中为后期新增的知识点相关零部件、步骤节点添加序号，并支持手动调整顺序与位置；支持编号与知识点清单、物料清单（BOM）数据深度关联，点击编号可实时高亮对应的三维零部件或知识点节点，便于后期知识点体系的整合呈现与讲解。</w:t>
      </w:r>
    </w:p>
    <w:p w14:paraId="1587D7B3">
      <w:pPr>
        <w:spacing w:line="360" w:lineRule="auto"/>
        <w:ind w:firstLine="420" w:firstLineChars="200"/>
        <w:rPr>
          <w:rFonts w:ascii="宋体" w:hAnsi="宋体" w:cs="宋体"/>
          <w:szCs w:val="21"/>
        </w:rPr>
      </w:pPr>
      <w:r>
        <w:rPr>
          <w:rFonts w:ascii="宋体" w:hAnsi="宋体" w:cs="宋体"/>
          <w:szCs w:val="21"/>
        </w:rPr>
        <w:t>11)</w:t>
      </w:r>
      <w:r>
        <w:rPr>
          <w:rFonts w:hint="eastAsia" w:ascii="宋体" w:hAnsi="宋体" w:cs="宋体"/>
          <w:szCs w:val="21"/>
        </w:rPr>
        <w:t>具备三维测量功能，支持长度、直径、角度等尺寸测量，测量标注随模型位移或变形自动更新，可用于补充后期新增工程类、机械类知识点的尺寸参数说明；支持自定义测量文本样式（字体、颜色、透明度）及测量符号，适配后期不同知识点的标注需求。</w:t>
      </w:r>
    </w:p>
    <w:p w14:paraId="25C73F70">
      <w:pPr>
        <w:spacing w:line="360" w:lineRule="auto"/>
        <w:ind w:firstLine="420" w:firstLineChars="200"/>
        <w:rPr>
          <w:rFonts w:ascii="宋体" w:hAnsi="宋体" w:cs="宋体"/>
          <w:szCs w:val="21"/>
        </w:rPr>
      </w:pPr>
      <w:r>
        <w:rPr>
          <w:rFonts w:ascii="宋体" w:hAnsi="宋体" w:cs="宋体"/>
          <w:szCs w:val="21"/>
        </w:rPr>
        <w:t>12)</w:t>
      </w:r>
      <w:r>
        <w:rPr>
          <w:rFonts w:hint="eastAsia" w:ascii="宋体" w:hAnsi="宋体" w:cs="宋体"/>
          <w:szCs w:val="21"/>
        </w:rPr>
        <w:t>支持自由剖切功能，可在三维视图中创建一个或多个剖切面，并通过移动、旋转操作精准揭示模型内部结构，用于讲解后期新增的内部结构类知识点；支持独立设置每个剖切面的颜色、透明度、显示样式和启用状态，提升后期知识点讲解的直观性。</w:t>
      </w:r>
    </w:p>
    <w:p w14:paraId="12038A03">
      <w:pPr>
        <w:spacing w:line="360" w:lineRule="auto"/>
        <w:ind w:firstLine="420" w:firstLineChars="200"/>
        <w:rPr>
          <w:rFonts w:ascii="宋体" w:hAnsi="宋体" w:cs="宋体"/>
          <w:szCs w:val="21"/>
        </w:rPr>
      </w:pPr>
      <w:r>
        <w:rPr>
          <w:rFonts w:ascii="宋体" w:hAnsi="宋体" w:cs="宋体"/>
          <w:szCs w:val="21"/>
        </w:rPr>
        <w:t>13)</w:t>
      </w:r>
      <w:r>
        <w:rPr>
          <w:rFonts w:hint="eastAsia" w:ascii="宋体" w:hAnsi="宋体" w:cs="宋体"/>
          <w:szCs w:val="21"/>
        </w:rPr>
        <w:t>内置三种工业级标准方向指示箭头，可用于标注后期新增知识点中的运动方向、操作路径等，包括线性箭头（指示直线移动）、圆形箭头（指示旋转运动）、直角箭头（标识路径转折），辅助后期知识点的高效讲解。</w:t>
      </w:r>
    </w:p>
    <w:p w14:paraId="10D509BC">
      <w:pPr>
        <w:spacing w:line="360" w:lineRule="auto"/>
        <w:ind w:firstLine="420" w:firstLineChars="200"/>
        <w:rPr>
          <w:rFonts w:ascii="宋体" w:hAnsi="宋体" w:cs="宋体"/>
          <w:szCs w:val="21"/>
        </w:rPr>
      </w:pPr>
      <w:r>
        <w:rPr>
          <w:rFonts w:ascii="宋体" w:hAnsi="宋体" w:cs="宋体"/>
          <w:szCs w:val="21"/>
        </w:rPr>
        <w:t>14)</w:t>
      </w:r>
      <w:r>
        <w:rPr>
          <w:rFonts w:hint="eastAsia" w:ascii="宋体" w:hAnsi="宋体" w:cs="宋体"/>
          <w:szCs w:val="21"/>
        </w:rPr>
        <w:t>支持创建圆形高亮区域，可通过调整颜色、透明度、边框粗细等属性，对后期新增知识点核心区域、重点部件进行突出标注，引导学生关注关键知识点，提升后期教学的针对性。</w:t>
      </w:r>
    </w:p>
    <w:p w14:paraId="3FCC7218">
      <w:pPr>
        <w:spacing w:line="360" w:lineRule="auto"/>
        <w:ind w:firstLine="420" w:firstLineChars="200"/>
        <w:rPr>
          <w:rFonts w:ascii="宋体" w:hAnsi="宋体" w:cs="宋体"/>
          <w:szCs w:val="21"/>
        </w:rPr>
      </w:pPr>
      <w:r>
        <w:rPr>
          <w:rFonts w:ascii="宋体" w:hAnsi="宋体" w:cs="宋体"/>
          <w:szCs w:val="21"/>
        </w:rPr>
        <w:t>15)</w:t>
      </w:r>
      <w:r>
        <w:rPr>
          <w:rFonts w:hint="eastAsia" w:ascii="宋体" w:hAnsi="宋体" w:cs="宋体"/>
          <w:szCs w:val="21"/>
        </w:rPr>
        <w:t>内置嵌入式BOM（物料清单）编辑器，可生成后期新增知识点相关的物料清单、内容清单，表格中的物料、编号与三维模型实现实时高亮联动与双向同步；支持双模式属性调用：可自动继承导入素材的元属性，并支持用户通过可视化界面自定义新建元属性，便于后期知识点素材的分类管理、迭代维护与高效检索。</w:t>
      </w:r>
      <w:r>
        <w:rPr>
          <w:rFonts w:hint="eastAsia" w:ascii="宋体" w:hAnsi="宋体" w:cs="宋体"/>
          <w:kern w:val="0"/>
          <w:szCs w:val="21"/>
        </w:rPr>
        <w:t>（提供所投真实产品的功能截图证明材料）</w:t>
      </w:r>
    </w:p>
    <w:p w14:paraId="44768EDB">
      <w:pPr>
        <w:spacing w:line="360" w:lineRule="auto"/>
        <w:ind w:firstLine="84" w:firstLineChars="40"/>
        <w:rPr>
          <w:rFonts w:ascii="宋体" w:hAnsi="宋体" w:cs="宋体"/>
          <w:szCs w:val="21"/>
        </w:rPr>
      </w:pPr>
      <w:r>
        <w:rPr>
          <w:rFonts w:hint="eastAsia" w:ascii="宋体" w:hAnsi="宋体" w:cs="宋体"/>
          <w:szCs w:val="21"/>
        </w:rPr>
        <w:t>3.教学素材生成</w:t>
      </w:r>
    </w:p>
    <w:p w14:paraId="0D369D16">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支持基于时间轴的3D动画制作，可制作后期新增知识点相关的动画视频、步骤演示动画，具备创建、删除、修改动画片段的完整功能；支持在动画关键帧嵌入文字注释、新增知识点说明或操作提示，信息可随动画播放自动触发显示，适配后期知识点分步讲解需求；支持通过点击、悬停等交互事件手动调用注释信息；支持设置零件闪烁、淡入、淡出、高亮过渡等视觉特效，增强动画的教学性；支持将交互式文本说明与特定动画事件绑定，实现后期知识点步骤指引、状态反馈等功能，提升动画教学效果。</w:t>
      </w:r>
    </w:p>
    <w:p w14:paraId="0F53A6CE">
      <w:pPr>
        <w:spacing w:line="360" w:lineRule="auto"/>
        <w:ind w:firstLine="420" w:firstLineChars="200"/>
        <w:rPr>
          <w:rFonts w:ascii="宋体" w:hAnsi="宋体" w:cs="宋体"/>
          <w:szCs w:val="21"/>
        </w:rPr>
      </w:pPr>
      <w:r>
        <w:rPr>
          <w:rFonts w:ascii="宋体" w:hAnsi="宋体" w:cs="宋体"/>
          <w:szCs w:val="21"/>
        </w:rPr>
        <w:t>2)</w:t>
      </w:r>
      <w:r>
        <w:rPr>
          <w:rFonts w:hint="eastAsia" w:ascii="宋体" w:hAnsi="宋体" w:cs="宋体"/>
          <w:szCs w:val="21"/>
        </w:rPr>
        <w:t>2D UI 图形库：内置20+常用2D UI图像（如按钮、图标、指示元素等），满足后期知识点交互素材、虚拟仿真素材的界面交互设计基础需求，可直接调用适配教学场景，减少后期素材制作工作量，提升知识点扩容效率。</w:t>
      </w:r>
    </w:p>
    <w:p w14:paraId="0A7DC30F">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3D工具库资源：内置丰富的标准化工装夹具三维模型资源库，支持用户直接拖拽至场景中使用，并支持快速定位、比例缩放和属性配置，可用于补充后期新增工程类、实操类知识点的素材，提升后期素材制作效率，助力知识点持续扩容。</w:t>
      </w:r>
    </w:p>
    <w:p w14:paraId="2A1EAF13">
      <w:pPr>
        <w:spacing w:line="360" w:lineRule="auto"/>
        <w:ind w:firstLine="420" w:firstLineChars="200"/>
        <w:rPr>
          <w:rFonts w:ascii="宋体" w:hAnsi="宋体" w:cs="宋体"/>
          <w:szCs w:val="21"/>
        </w:rPr>
      </w:pPr>
      <w:r>
        <w:rPr>
          <w:rFonts w:ascii="宋体" w:hAnsi="宋体" w:cs="宋体"/>
          <w:szCs w:val="21"/>
        </w:rPr>
        <w:t>4)</w:t>
      </w:r>
      <w:r>
        <w:rPr>
          <w:rFonts w:hint="eastAsia" w:ascii="宋体" w:hAnsi="宋体" w:cs="宋体"/>
          <w:szCs w:val="21"/>
        </w:rPr>
        <w:t>支持创建自定义资源库，支持用户自主创建和管理本地后期新增的知识点相关材质、工具、模型等自定义资源库，便于素材的分类存储、重复利用与后期迭代；支持将本地自定义资源一键上传至专属云空间，实现安全备份，避免后期素材丢失；支持通过账户登录，将云空间资源同步至新设备，确保智慧课程后期知识点建设与维护的连续性，适配多场景后期素材制作需求。</w:t>
      </w:r>
    </w:p>
    <w:p w14:paraId="2E38C7B8">
      <w:pPr>
        <w:spacing w:line="360" w:lineRule="auto"/>
        <w:rPr>
          <w:rFonts w:ascii="宋体" w:hAnsi="宋体" w:cs="宋体"/>
          <w:szCs w:val="21"/>
        </w:rPr>
      </w:pPr>
      <w:r>
        <w:rPr>
          <w:rFonts w:hint="eastAsia" w:ascii="宋体" w:hAnsi="宋体" w:cs="宋体"/>
          <w:szCs w:val="21"/>
        </w:rPr>
        <w:t>4.素材输出与课程教学教学嵌入</w:t>
      </w:r>
    </w:p>
    <w:p w14:paraId="6700A8D9">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保障后期素材复用，适配多教学场景，支持输出多种格式素材满足智慧课程后期知识点呈现与更新需求：可输出知识图解素材（2D线条图、JPEG高清图、含透明通道PNG图），用于课件更新、海报制作及教学手册完善；可将3D工程数据、后期新增知识点动画制作成多分辨率MP4视频，适配课堂演示、线上课程迭代及预习复习需求；可输出免安装.EXE可执行文件或目录，支持视角切换与事件响应，作为独立虚拟仿真、三维交互素材，提升后期使用便捷性；可发布为HTML5网页，兼容主流浏览器免插件运行，便于线上课程更新及学生随时随地查看交互学习。</w:t>
      </w:r>
    </w:p>
    <w:p w14:paraId="13551DE1">
      <w:pPr>
        <w:spacing w:line="360" w:lineRule="auto"/>
        <w:ind w:firstLine="420" w:firstLineChars="200"/>
        <w:rPr>
          <w:rFonts w:ascii="宋体" w:hAnsi="宋体" w:cs="宋体"/>
          <w:kern w:val="0"/>
          <w:szCs w:val="21"/>
        </w:rPr>
      </w:pPr>
      <w:r>
        <w:rPr>
          <w:rFonts w:ascii="宋体" w:hAnsi="宋体" w:cs="宋体"/>
          <w:szCs w:val="21"/>
        </w:rPr>
        <w:t>2)</w:t>
      </w:r>
      <w:r>
        <w:rPr>
          <w:rFonts w:hint="eastAsia" w:ascii="宋体" w:hAnsi="宋体" w:cs="宋体"/>
          <w:szCs w:val="21"/>
        </w:rPr>
        <w:t>支持导出HEP5格式文档，可无缝集成主流数字教材APP，适配手机、平板、电脑触控交互，作为数字教材后期知识点补充素材，提升智慧课程移动学习适配性与知识点多终端传递效率；</w:t>
      </w:r>
      <w:r>
        <w:rPr>
          <w:rFonts w:hint="eastAsia" w:ascii="宋体" w:hAnsi="宋体" w:cs="宋体"/>
          <w:kern w:val="0"/>
          <w:szCs w:val="21"/>
        </w:rPr>
        <w:t>（提供所投真实产品的功能截图证明材料）</w:t>
      </w:r>
    </w:p>
    <w:p w14:paraId="5CF3C19C">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同时支持将3D场景、后期新增知识点交互素材及虚拟仿真素材嵌入Office、WPS、PDF等日常教学办公软件，可在文档内完成查看/隐藏/删除模型、创建/移动/删除剖面等多种交互操作，适配后期课件制作、教学文档编写等场景，提升素材复用性与教学便捷性。</w:t>
      </w:r>
    </w:p>
    <w:p w14:paraId="659AA44F">
      <w:pPr>
        <w:spacing w:line="360" w:lineRule="auto"/>
        <w:ind w:firstLine="84" w:firstLineChars="40"/>
        <w:rPr>
          <w:rFonts w:ascii="宋体" w:hAnsi="宋体" w:cs="宋体"/>
          <w:szCs w:val="21"/>
        </w:rPr>
      </w:pPr>
      <w:r>
        <w:rPr>
          <w:rFonts w:hint="eastAsia" w:ascii="宋体" w:hAnsi="宋体" w:cs="宋体"/>
          <w:szCs w:val="21"/>
        </w:rPr>
        <w:t>5.系统兼容与安全保障</w:t>
      </w:r>
    </w:p>
    <w:p w14:paraId="53E2DFE1">
      <w:pPr>
        <w:spacing w:line="360" w:lineRule="auto"/>
        <w:ind w:firstLine="420" w:firstLineChars="200"/>
        <w:rPr>
          <w:rFonts w:ascii="宋体" w:hAnsi="宋体" w:cs="宋体"/>
          <w:kern w:val="0"/>
          <w:szCs w:val="21"/>
        </w:rPr>
      </w:pPr>
      <w:r>
        <w:rPr>
          <w:rFonts w:ascii="宋体" w:hAnsi="宋体" w:cs="宋体"/>
          <w:szCs w:val="21"/>
        </w:rPr>
        <w:t>1)</w:t>
      </w:r>
      <w:r>
        <w:rPr>
          <w:rFonts w:hint="eastAsia" w:ascii="宋体" w:hAnsi="宋体" w:cs="宋体"/>
          <w:szCs w:val="21"/>
        </w:rPr>
        <w:t>支持国产操作系统，并兼容WPS、福昕PDF等国产办公软件，适配国内教学场景的系统与软件环境，保障后期知识点素材嵌入、编辑与使用的稳定性，支撑知识点长期迭代。</w:t>
      </w:r>
      <w:r>
        <w:rPr>
          <w:rFonts w:hint="eastAsia" w:ascii="宋体" w:hAnsi="宋体" w:cs="宋体"/>
          <w:kern w:val="0"/>
          <w:szCs w:val="21"/>
        </w:rPr>
        <w:t>（提供所投真实产品的功能截图证明材料）</w:t>
      </w:r>
    </w:p>
    <w:p w14:paraId="6E6F4344">
      <w:pPr>
        <w:spacing w:line="360" w:lineRule="auto"/>
        <w:ind w:firstLine="420" w:firstLineChars="200"/>
        <w:rPr>
          <w:rFonts w:ascii="宋体" w:hAnsi="宋体" w:cs="宋体"/>
          <w:szCs w:val="21"/>
        </w:rPr>
      </w:pPr>
      <w:r>
        <w:rPr>
          <w:rFonts w:ascii="宋体" w:hAnsi="宋体" w:cs="宋体"/>
          <w:szCs w:val="21"/>
        </w:rPr>
        <w:t>2)</w:t>
      </w:r>
      <w:r>
        <w:rPr>
          <w:rFonts w:hint="eastAsia" w:ascii="宋体" w:hAnsi="宋体" w:cs="宋体"/>
          <w:szCs w:val="21"/>
        </w:rPr>
        <w:t>具备VR模式，支持沉浸式视角推进、事件激活等交互操作，可用于构建沉浸式虚拟仿真教学场景，丰富后期知识点讲解形式，提升知识点讲解的趣味性与直观性，助力后期教学质量提升。（提供所投真实产品的功能截图证明材料）</w:t>
      </w:r>
    </w:p>
    <w:p w14:paraId="334F998E">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支持发布带密码保护的文档，有效保障智慧课程后期新增核心知识点素材、原创素材的安全，防止素材泄露，支撑知识点素材的长期安全维护与规范管理。</w:t>
      </w:r>
      <w:r>
        <w:rPr>
          <w:rFonts w:hint="eastAsia" w:ascii="宋体" w:hAnsi="宋体" w:cs="宋体"/>
          <w:kern w:val="0"/>
          <w:szCs w:val="21"/>
        </w:rPr>
        <w:t>（提供所投真实产品的功能截图证明材料）</w:t>
      </w:r>
    </w:p>
    <w:p w14:paraId="62C9A638">
      <w:pPr>
        <w:pStyle w:val="5"/>
        <w:ind w:firstLine="0" w:firstLineChars="0"/>
        <w:jc w:val="left"/>
        <w:rPr>
          <w:rFonts w:hAnsi="宋体" w:cs="宋体"/>
          <w:b w:val="0"/>
          <w:sz w:val="21"/>
          <w:szCs w:val="21"/>
        </w:rPr>
      </w:pPr>
      <w:r>
        <w:rPr>
          <w:rFonts w:hint="eastAsia" w:hAnsi="宋体" w:cs="宋体"/>
          <w:bCs w:val="0"/>
          <w:sz w:val="21"/>
          <w:szCs w:val="21"/>
        </w:rPr>
        <w:t>（六）机械类智慧课程实训教学资源库平台</w:t>
      </w:r>
    </w:p>
    <w:p w14:paraId="2803412A">
      <w:pPr>
        <w:spacing w:line="360" w:lineRule="auto"/>
        <w:ind w:firstLine="420"/>
        <w:rPr>
          <w:rFonts w:ascii="宋体" w:hAnsi="宋体" w:cs="宋体"/>
          <w:szCs w:val="21"/>
        </w:rPr>
      </w:pPr>
      <w:r>
        <w:rPr>
          <w:rFonts w:hint="eastAsia" w:ascii="宋体" w:hAnsi="宋体" w:cs="宋体"/>
          <w:szCs w:val="21"/>
        </w:rPr>
        <w:t>为丰富机械类智慧课程知识点教学资源的匹配度及知识点学习环节的实训资源补齐，满足机械相关专业教学、智慧课程学习过程中的实训需求，补齐教学中实操场景不足、资源适配性不强的短板，提供机械工程智慧课程实训教学资源库，本资源库以虚拟展厅形式展开系统化学习，为机械工程类智慧课程教学活动提供全方位、高适配的虚拟仿真教学资源支撑。</w:t>
      </w:r>
    </w:p>
    <w:p w14:paraId="12AFEE51">
      <w:pPr>
        <w:spacing w:line="360" w:lineRule="auto"/>
        <w:ind w:firstLine="200"/>
        <w:rPr>
          <w:rFonts w:ascii="宋体" w:hAnsi="宋体" w:cs="宋体"/>
          <w:szCs w:val="21"/>
        </w:rPr>
      </w:pPr>
      <w:r>
        <w:rPr>
          <w:rFonts w:hint="eastAsia" w:ascii="宋体" w:hAnsi="宋体" w:cs="宋体"/>
          <w:szCs w:val="21"/>
        </w:rPr>
        <w:t>1.总体概述</w:t>
      </w:r>
    </w:p>
    <w:p w14:paraId="2D7ADD7A">
      <w:pPr>
        <w:spacing w:line="360" w:lineRule="auto"/>
        <w:ind w:firstLine="420"/>
        <w:rPr>
          <w:rFonts w:ascii="宋体" w:hAnsi="宋体" w:cs="宋体"/>
          <w:szCs w:val="21"/>
        </w:rPr>
      </w:pPr>
      <w:r>
        <w:rPr>
          <w:rFonts w:hint="eastAsia" w:ascii="宋体" w:hAnsi="宋体" w:cs="宋体"/>
          <w:szCs w:val="21"/>
        </w:rPr>
        <w:t>以轻量化三维虚拟仿真技术为核心，打破物理空间与现实场景的局限，融合三维图片展示、科普知识互动问答、轻量化动画演示、虚拟仿真实操、趣味教学小游戏等多元形式，全面、直观呈现工程图学、机械原理与机械零件、机械制造、电气控制、液压传动及金工实习六大核心领域的前沿知识、实用技术与行业动态。</w:t>
      </w:r>
    </w:p>
    <w:p w14:paraId="725B6450">
      <w:pPr>
        <w:spacing w:line="360" w:lineRule="auto"/>
        <w:ind w:firstLine="420"/>
        <w:rPr>
          <w:rFonts w:ascii="宋体" w:hAnsi="宋体" w:cs="宋体"/>
          <w:szCs w:val="21"/>
        </w:rPr>
      </w:pPr>
      <w:r>
        <w:rPr>
          <w:rFonts w:hint="eastAsia" w:ascii="宋体" w:hAnsi="宋体" w:cs="宋体"/>
          <w:szCs w:val="21"/>
        </w:rPr>
        <w:t>构建沉浸式轻量化虚拟互动教学资源库，设置知识点停留节点、热点技术交互学习等功能，打造趣味性强、操作便捷的教学体验环境。展馆按主题分设展区，配套足量三维图片、轻量化动画、教学视频、配音科普文稿、知识问答等教学资源：图文资源聚焦实物展示、知识点解析与技术科普；视频资源侧重领域发展历程、设备结构演示；动画资源直观呈现设备工作流程与核心原理；配音科普文稿与科普教材精准配套，助力知识点系统传递。</w:t>
      </w:r>
    </w:p>
    <w:p w14:paraId="2EF0E44F">
      <w:pPr>
        <w:spacing w:line="360" w:lineRule="auto"/>
        <w:ind w:firstLine="200"/>
        <w:rPr>
          <w:rFonts w:ascii="宋体" w:hAnsi="宋体" w:cs="宋体"/>
          <w:szCs w:val="21"/>
        </w:rPr>
      </w:pPr>
      <w:r>
        <w:rPr>
          <w:rFonts w:hint="eastAsia" w:ascii="宋体" w:hAnsi="宋体" w:cs="宋体"/>
          <w:szCs w:val="21"/>
        </w:rPr>
        <w:t>2.适用平台</w:t>
      </w:r>
    </w:p>
    <w:p w14:paraId="377C0BA4">
      <w:pPr>
        <w:spacing w:line="360" w:lineRule="auto"/>
        <w:ind w:firstLine="420"/>
        <w:rPr>
          <w:rFonts w:ascii="宋体" w:hAnsi="宋体" w:cs="宋体"/>
          <w:szCs w:val="21"/>
        </w:rPr>
      </w:pPr>
      <w:r>
        <w:rPr>
          <w:rFonts w:hint="eastAsia" w:ascii="宋体" w:hAnsi="宋体" w:cs="宋体"/>
          <w:szCs w:val="21"/>
        </w:rPr>
        <w:t>1) 适配平台：至少支持Windows10、Windows11操作系统，可通过安装程序完成本地化部署与使用，兼顾轻量化运行需求；</w:t>
      </w:r>
    </w:p>
    <w:p w14:paraId="132F9456">
      <w:pPr>
        <w:spacing w:line="360" w:lineRule="auto"/>
        <w:ind w:firstLine="420"/>
        <w:rPr>
          <w:rFonts w:ascii="宋体" w:hAnsi="宋体" w:cs="宋体"/>
          <w:szCs w:val="21"/>
        </w:rPr>
      </w:pPr>
      <w:r>
        <w:rPr>
          <w:rFonts w:hint="eastAsia" w:ascii="宋体" w:hAnsi="宋体" w:cs="宋体"/>
          <w:szCs w:val="21"/>
        </w:rPr>
        <w:t>2) 加密部署：支持两种可选方案，可采用联网数量授权模式，或通过加密狗实现本地化安全部署，保障资源使用安全。</w:t>
      </w:r>
    </w:p>
    <w:p w14:paraId="1A51C372">
      <w:pPr>
        <w:spacing w:line="360" w:lineRule="auto"/>
        <w:ind w:firstLine="200"/>
        <w:rPr>
          <w:rFonts w:ascii="宋体" w:hAnsi="宋体" w:cs="宋体"/>
          <w:szCs w:val="21"/>
        </w:rPr>
      </w:pPr>
      <w:r>
        <w:rPr>
          <w:rFonts w:hint="eastAsia" w:ascii="宋体" w:hAnsi="宋体" w:cs="宋体"/>
          <w:szCs w:val="21"/>
        </w:rPr>
        <w:t>3.核心教学资源内容要求</w:t>
      </w:r>
    </w:p>
    <w:p w14:paraId="427AF7EF">
      <w:pPr>
        <w:spacing w:line="360" w:lineRule="auto"/>
        <w:ind w:firstLine="420"/>
        <w:rPr>
          <w:rFonts w:ascii="宋体" w:hAnsi="宋体" w:cs="宋体"/>
          <w:szCs w:val="21"/>
        </w:rPr>
      </w:pPr>
      <w:r>
        <w:rPr>
          <w:rFonts w:hint="eastAsia" w:ascii="宋体" w:hAnsi="宋体" w:cs="宋体"/>
          <w:szCs w:val="21"/>
        </w:rPr>
        <w:t>1)资源库整体功能要求：支持三维虚拟仿真教学，通过虚拟三维空间沉浸式教学（非平面网页图文浏览）、交互完成内容学习，内容包含序厅、工程图学展厅、机原机零展厅、机械制造展厅、电气控制展厅、液压传动展厅、金工实习展厅七大三维空间区域内容学习。每个展厅具备丰富的图文、视频等教学资源，支持用户进行选择交互学习。各展厅按知识点逻辑循序渐进布局，展厅教学内容丰富，符合智慧教学过程中的实训教学需求，资源库合展厅模块实现互联互通，支持用户完成全流程串联式学习。展厅内嵌轻量化教学资源完整齐全，所有资源均与各展厅主题高度契合、精准匹配；</w:t>
      </w:r>
    </w:p>
    <w:p w14:paraId="5A3E9620">
      <w:pPr>
        <w:spacing w:line="360" w:lineRule="auto"/>
        <w:ind w:firstLine="420"/>
        <w:rPr>
          <w:rFonts w:ascii="宋体" w:hAnsi="宋体" w:cs="宋体"/>
          <w:szCs w:val="21"/>
        </w:rPr>
      </w:pPr>
      <w:r>
        <w:rPr>
          <w:rFonts w:hint="eastAsia" w:ascii="宋体" w:hAnsi="宋体" w:cs="宋体"/>
          <w:szCs w:val="21"/>
        </w:rPr>
        <w:t>2) 序厅：</w:t>
      </w:r>
    </w:p>
    <w:p w14:paraId="5E7BA674">
      <w:pPr>
        <w:spacing w:line="360" w:lineRule="auto"/>
        <w:ind w:firstLine="420"/>
        <w:rPr>
          <w:rFonts w:ascii="宋体" w:hAnsi="宋体" w:cs="宋体"/>
          <w:szCs w:val="21"/>
        </w:rPr>
      </w:pPr>
      <w:r>
        <w:rPr>
          <w:rFonts w:hint="eastAsia" w:ascii="宋体" w:hAnsi="宋体" w:cs="宋体"/>
          <w:szCs w:val="21"/>
        </w:rPr>
        <w:t>机电专业科普互动墙资源要求：</w:t>
      </w:r>
    </w:p>
    <w:p w14:paraId="65CAA3A7">
      <w:pPr>
        <w:spacing w:line="360" w:lineRule="auto"/>
        <w:ind w:firstLine="420"/>
        <w:rPr>
          <w:rFonts w:ascii="宋体" w:hAnsi="宋体" w:cs="宋体"/>
          <w:szCs w:val="21"/>
        </w:rPr>
      </w:pPr>
      <w:r>
        <w:rPr>
          <w:rFonts w:hint="eastAsia" w:ascii="宋体" w:hAnsi="宋体" w:cs="宋体"/>
          <w:szCs w:val="21"/>
        </w:rPr>
        <w:t>科普互动墙包含核心内容：专业培养目标、培养要求、课程体系设置、行业发展趋势（智能化、模块化、网络化、微型化、绿色化、系统化），支持参观者对墙上内容进行查看、交互操作，实现知识点自主学习。</w:t>
      </w:r>
    </w:p>
    <w:p w14:paraId="672F1B22">
      <w:pPr>
        <w:spacing w:line="360" w:lineRule="auto"/>
        <w:ind w:firstLine="420"/>
        <w:rPr>
          <w:rFonts w:ascii="宋体" w:hAnsi="宋体" w:cs="宋体"/>
          <w:szCs w:val="21"/>
        </w:rPr>
      </w:pPr>
      <w:r>
        <w:rPr>
          <w:rFonts w:hint="eastAsia" w:ascii="宋体" w:hAnsi="宋体" w:cs="宋体"/>
          <w:szCs w:val="21"/>
        </w:rPr>
        <w:t>序厅整体需满足上述科普互动墙全部内容要求。</w:t>
      </w:r>
    </w:p>
    <w:p w14:paraId="0E1E076F">
      <w:pPr>
        <w:spacing w:line="360" w:lineRule="auto"/>
        <w:ind w:firstLine="420"/>
        <w:rPr>
          <w:rFonts w:ascii="宋体" w:hAnsi="宋体" w:cs="宋体"/>
          <w:szCs w:val="21"/>
        </w:rPr>
      </w:pPr>
      <w:r>
        <w:rPr>
          <w:rFonts w:hint="eastAsia" w:ascii="宋体" w:hAnsi="宋体" w:cs="宋体"/>
          <w:szCs w:val="21"/>
        </w:rPr>
        <w:t>3) 工程图学展厅资源要求：</w:t>
      </w:r>
    </w:p>
    <w:p w14:paraId="0BF24EEB">
      <w:pPr>
        <w:spacing w:line="360" w:lineRule="auto"/>
        <w:ind w:firstLine="420"/>
        <w:rPr>
          <w:rFonts w:ascii="宋体" w:hAnsi="宋体" w:cs="宋体"/>
          <w:szCs w:val="21"/>
        </w:rPr>
      </w:pPr>
      <w:r>
        <w:rPr>
          <w:rFonts w:hint="eastAsia" w:ascii="宋体" w:hAnsi="宋体" w:cs="宋体"/>
          <w:szCs w:val="21"/>
        </w:rPr>
        <w:t>机械制图模块：几何元素的投影；立体及其表面的交线；轴侧投影；组合体的视图；机件的图样画法；零件图；连接件与传动件；装配图；展开图和焊接图。不少于50个3D仿真动画资源，1套配套视频图文资源。</w:t>
      </w:r>
    </w:p>
    <w:p w14:paraId="4E4FB637">
      <w:pPr>
        <w:spacing w:line="360" w:lineRule="auto"/>
        <w:ind w:firstLine="420"/>
        <w:rPr>
          <w:rFonts w:ascii="宋体" w:hAnsi="宋体" w:cs="宋体"/>
          <w:szCs w:val="21"/>
        </w:rPr>
      </w:pPr>
      <w:r>
        <w:rPr>
          <w:rFonts w:hint="eastAsia" w:ascii="宋体" w:hAnsi="宋体" w:cs="宋体"/>
          <w:szCs w:val="21"/>
        </w:rPr>
        <w:t>零部件测绘模块：测绘轴套类零件；测绘叉架类零件；球阀的测绘；机用虎钳的测绘；齿轮油泵的测绘；一级圆柱齿轮减速器的测绘。不少于5个虚拟仿真实验课程。</w:t>
      </w:r>
    </w:p>
    <w:p w14:paraId="4735FB2E">
      <w:pPr>
        <w:spacing w:line="360" w:lineRule="auto"/>
        <w:ind w:firstLine="420"/>
        <w:rPr>
          <w:rFonts w:ascii="宋体" w:hAnsi="宋体" w:cs="宋体"/>
          <w:szCs w:val="21"/>
        </w:rPr>
      </w:pPr>
      <w:r>
        <w:rPr>
          <w:rFonts w:hint="eastAsia" w:ascii="宋体" w:hAnsi="宋体" w:cs="宋体"/>
          <w:szCs w:val="21"/>
        </w:rPr>
        <w:t>4) 工程图学展厅资源数量配置要求：（所有资源需符合上述展厅资源要求，适配轻量化运行）机械制图资源：不少于50个轻量化3D仿真动画，配套1套视频图文教学资源；零部件测绘资源：不少于4门虚拟仿真实验课程。（提供所投真实产品的功能截图证明材料）</w:t>
      </w:r>
    </w:p>
    <w:p w14:paraId="126C2A49">
      <w:pPr>
        <w:spacing w:line="360" w:lineRule="auto"/>
        <w:ind w:firstLine="420"/>
        <w:rPr>
          <w:rFonts w:ascii="宋体" w:hAnsi="宋体" w:cs="宋体"/>
          <w:szCs w:val="21"/>
        </w:rPr>
      </w:pPr>
      <w:r>
        <w:rPr>
          <w:rFonts w:hint="eastAsia" w:ascii="宋体" w:hAnsi="宋体" w:cs="宋体"/>
          <w:szCs w:val="21"/>
        </w:rPr>
        <w:t>5) 机原机零展厅资源要求：</w:t>
      </w:r>
    </w:p>
    <w:p w14:paraId="18EC90B4">
      <w:pPr>
        <w:spacing w:line="360" w:lineRule="auto"/>
        <w:ind w:firstLine="420"/>
        <w:rPr>
          <w:rFonts w:ascii="宋体" w:hAnsi="宋体" w:cs="宋体"/>
          <w:szCs w:val="21"/>
        </w:rPr>
      </w:pPr>
      <w:r>
        <w:rPr>
          <w:rFonts w:hint="eastAsia" w:ascii="宋体" w:hAnsi="宋体" w:cs="宋体"/>
          <w:szCs w:val="21"/>
        </w:rPr>
        <w:t>机械原理模块：包含平面连杆机构、凸轮机构、带传动、齿轮机构、弹簧、润滑与密封、离合器、轴、联轴器、传动机构等核心内容。</w:t>
      </w:r>
    </w:p>
    <w:p w14:paraId="2FCE0F6F">
      <w:pPr>
        <w:spacing w:line="360" w:lineRule="auto"/>
        <w:ind w:firstLine="420"/>
        <w:rPr>
          <w:rFonts w:ascii="宋体" w:hAnsi="宋体" w:cs="宋体"/>
          <w:szCs w:val="21"/>
        </w:rPr>
      </w:pPr>
      <w:r>
        <w:rPr>
          <w:rFonts w:hint="eastAsia" w:ascii="宋体" w:hAnsi="宋体" w:cs="宋体"/>
          <w:szCs w:val="21"/>
        </w:rPr>
        <w:t>机械基础模块：涵盖外圆加工、沟槽加工、平面加工、轮廓铣削、螺纹加工、钳工工具与量具、划线操作、台钻操作、锯削与平挫、钻孔、工具找正、机床结构、叉车与叉架、机械构成、链轮危险演示、台虎钳、箱体、轴套、低碳钢与铸铁拉伸、齿尖受力情况、锉削对比、空客相关知识、二力平衡、力的可传递性、平行四边形原理、力矩与力偶、塔式起重机、作用力分析、油泵、弹性挡圈、转轴、键连接、阶台轴、阶梯光轴、紧定螺钉装配与选型、曲轴、销连接、圆螺母装配、圆锥面与轴端面、轴端挡板与挡圈、调节阀等知识点。</w:t>
      </w:r>
    </w:p>
    <w:p w14:paraId="0361795E">
      <w:pPr>
        <w:spacing w:line="360" w:lineRule="auto"/>
        <w:ind w:firstLine="420"/>
        <w:rPr>
          <w:rFonts w:ascii="宋体" w:hAnsi="宋体" w:cs="宋体"/>
          <w:szCs w:val="21"/>
        </w:rPr>
      </w:pPr>
      <w:r>
        <w:rPr>
          <w:rFonts w:hint="eastAsia" w:ascii="宋体" w:hAnsi="宋体" w:cs="宋体"/>
          <w:szCs w:val="21"/>
        </w:rPr>
        <w:t>机原机零展厅资源数量要求：（所有资源需符合上述展厅资源要求，适配轻量化运行）</w:t>
      </w:r>
    </w:p>
    <w:p w14:paraId="649AAEBA">
      <w:pPr>
        <w:spacing w:line="360" w:lineRule="auto"/>
        <w:ind w:firstLine="420"/>
        <w:rPr>
          <w:rFonts w:ascii="宋体" w:hAnsi="宋体" w:cs="宋体"/>
          <w:szCs w:val="21"/>
        </w:rPr>
      </w:pPr>
      <w:r>
        <w:rPr>
          <w:rFonts w:hint="eastAsia" w:ascii="宋体" w:hAnsi="宋体" w:cs="宋体"/>
          <w:szCs w:val="21"/>
        </w:rPr>
        <w:t>机械原理资源：不少于35个轻量化3D仿真动画、70个3D模型展示；机械基础资源：不少于100个轻量化3D仿真动画。</w:t>
      </w:r>
    </w:p>
    <w:p w14:paraId="4B67A339">
      <w:pPr>
        <w:spacing w:line="360" w:lineRule="auto"/>
        <w:ind w:firstLine="420"/>
        <w:rPr>
          <w:rFonts w:ascii="宋体" w:hAnsi="宋体" w:cs="宋体"/>
          <w:szCs w:val="21"/>
        </w:rPr>
      </w:pPr>
      <w:r>
        <w:rPr>
          <w:rFonts w:hint="eastAsia" w:ascii="宋体" w:hAnsi="宋体" w:cs="宋体"/>
          <w:szCs w:val="21"/>
        </w:rPr>
        <w:t>6) 机械制造展厅资源要求：</w:t>
      </w:r>
    </w:p>
    <w:p w14:paraId="595B99FC">
      <w:pPr>
        <w:spacing w:line="360" w:lineRule="auto"/>
        <w:ind w:firstLine="420"/>
        <w:rPr>
          <w:rFonts w:ascii="宋体" w:hAnsi="宋体" w:cs="宋体"/>
          <w:szCs w:val="21"/>
        </w:rPr>
      </w:pPr>
      <w:r>
        <w:rPr>
          <w:rFonts w:hint="eastAsia" w:ascii="宋体" w:hAnsi="宋体" w:cs="宋体"/>
          <w:szCs w:val="21"/>
        </w:rPr>
        <w:t>机械制造模块：包含分离式箱体加工法、齿轮加工法、切削原理、轴类加工原理、螺纹加工法、外圆与内孔加工法、平面加工、零件加工工艺、磨具及磨削加工、铣削刀具及应用、钳工刀具及钻削操作、钻削与铣削加工应用、夹具等核心内容。</w:t>
      </w:r>
    </w:p>
    <w:p w14:paraId="2EC02C43">
      <w:pPr>
        <w:spacing w:line="360" w:lineRule="auto"/>
        <w:ind w:firstLine="420"/>
        <w:rPr>
          <w:rFonts w:ascii="宋体" w:hAnsi="宋体" w:cs="宋体"/>
          <w:szCs w:val="21"/>
        </w:rPr>
      </w:pPr>
      <w:r>
        <w:rPr>
          <w:rFonts w:hint="eastAsia" w:ascii="宋体" w:hAnsi="宋体" w:cs="宋体"/>
          <w:szCs w:val="21"/>
        </w:rPr>
        <w:t>机械制造资源库：涵盖机械制造工艺学、机械制造技术基础两大核心课程相关资源。</w:t>
      </w:r>
    </w:p>
    <w:p w14:paraId="28144366">
      <w:pPr>
        <w:spacing w:line="360" w:lineRule="auto"/>
        <w:ind w:firstLine="400"/>
        <w:rPr>
          <w:rFonts w:ascii="宋体" w:hAnsi="宋体" w:cs="宋体"/>
          <w:szCs w:val="21"/>
        </w:rPr>
      </w:pPr>
      <w:r>
        <w:rPr>
          <w:rFonts w:hint="eastAsia" w:ascii="宋体" w:hAnsi="宋体" w:cs="宋体"/>
          <w:szCs w:val="21"/>
        </w:rPr>
        <w:t>7）机械制造展厅资源数量要求：（所有资源需符合上述展厅资源要求，适配轻量化运行）机械制造资源：不少于150个3D模型展示；机械制造资源库：不少于20个轻量化3D仿真动画资源。（提供所投真实产品的功能截图证明材料）</w:t>
      </w:r>
    </w:p>
    <w:p w14:paraId="7B567E91">
      <w:pPr>
        <w:spacing w:line="360" w:lineRule="auto"/>
        <w:ind w:firstLine="420"/>
        <w:rPr>
          <w:rFonts w:ascii="宋体" w:hAnsi="宋体" w:cs="宋体"/>
          <w:szCs w:val="21"/>
        </w:rPr>
      </w:pPr>
      <w:r>
        <w:rPr>
          <w:rFonts w:hint="eastAsia" w:ascii="宋体" w:hAnsi="宋体" w:cs="宋体"/>
          <w:szCs w:val="21"/>
        </w:rPr>
        <w:t>8) 电气控制展厅资源要求：</w:t>
      </w:r>
    </w:p>
    <w:p w14:paraId="14E6F1C7">
      <w:pPr>
        <w:spacing w:line="360" w:lineRule="auto"/>
        <w:ind w:firstLine="420"/>
        <w:rPr>
          <w:rFonts w:ascii="宋体" w:hAnsi="宋体" w:cs="宋体"/>
          <w:szCs w:val="21"/>
        </w:rPr>
      </w:pPr>
      <w:r>
        <w:rPr>
          <w:rFonts w:hint="eastAsia" w:ascii="宋体" w:hAnsi="宋体" w:cs="宋体"/>
          <w:szCs w:val="21"/>
        </w:rPr>
        <w:t>电气控制与PLC模块：包含电气控制基本知识、常用低压电器、继电器-接触器控制电路、典型设备电气控制电路分析、PLC指令系统及应用、常用机床电气虚拟仿真实验等内容。</w:t>
      </w:r>
    </w:p>
    <w:p w14:paraId="19BA590B">
      <w:pPr>
        <w:spacing w:line="360" w:lineRule="auto"/>
        <w:ind w:firstLine="420"/>
        <w:rPr>
          <w:rFonts w:ascii="宋体" w:hAnsi="宋体" w:cs="宋体"/>
          <w:szCs w:val="21"/>
        </w:rPr>
      </w:pPr>
      <w:r>
        <w:rPr>
          <w:rFonts w:hint="eastAsia" w:ascii="宋体" w:hAnsi="宋体" w:cs="宋体"/>
          <w:szCs w:val="21"/>
        </w:rPr>
        <w:t>电气控制展厅资源数量要求：（所有资源需符合上述展厅资源要求，适配轻量化运行）</w:t>
      </w:r>
    </w:p>
    <w:p w14:paraId="247A6BA5">
      <w:pPr>
        <w:spacing w:line="360" w:lineRule="auto"/>
        <w:ind w:firstLine="420"/>
        <w:rPr>
          <w:rFonts w:ascii="宋体" w:hAnsi="宋体" w:cs="宋体"/>
          <w:szCs w:val="21"/>
        </w:rPr>
      </w:pPr>
      <w:r>
        <w:rPr>
          <w:rFonts w:hint="eastAsia" w:ascii="宋体" w:hAnsi="宋体" w:cs="宋体"/>
          <w:szCs w:val="21"/>
        </w:rPr>
        <w:t>电气控制与PLC资源：不少于1套视频图文教学资源、不少于6个轻量化3D仿真动画、不少于1门虚拟仿真实验课程。</w:t>
      </w:r>
    </w:p>
    <w:p w14:paraId="17A24673">
      <w:pPr>
        <w:spacing w:line="360" w:lineRule="auto"/>
        <w:ind w:firstLine="420"/>
        <w:rPr>
          <w:rFonts w:ascii="宋体" w:hAnsi="宋体" w:cs="宋体"/>
          <w:szCs w:val="21"/>
        </w:rPr>
      </w:pPr>
      <w:r>
        <w:rPr>
          <w:rFonts w:hint="eastAsia" w:ascii="宋体" w:hAnsi="宋体" w:cs="宋体"/>
          <w:szCs w:val="21"/>
        </w:rPr>
        <w:t>9) 液压传动展厅资源要求：</w:t>
      </w:r>
    </w:p>
    <w:p w14:paraId="183C8930">
      <w:pPr>
        <w:spacing w:line="360" w:lineRule="auto"/>
        <w:ind w:firstLine="420"/>
        <w:rPr>
          <w:rFonts w:ascii="宋体" w:hAnsi="宋体" w:cs="宋体"/>
          <w:szCs w:val="21"/>
        </w:rPr>
      </w:pPr>
      <w:r>
        <w:rPr>
          <w:rFonts w:hint="eastAsia" w:ascii="宋体" w:hAnsi="宋体" w:cs="宋体"/>
          <w:szCs w:val="21"/>
        </w:rPr>
        <w:t>液压传动模块：包含常用液压器件、典型液压车辆（翻斗渣土车、挖掘机、推土机）液压系统、典型液压回路分析、液压传动工作原理、基本方式及控制方式、优缺点、应用场合、液压传动虚拟仿真实验等内容，配套1套视频图文教学资源。</w:t>
      </w:r>
    </w:p>
    <w:p w14:paraId="3D7E26C4">
      <w:pPr>
        <w:spacing w:line="360" w:lineRule="auto"/>
        <w:ind w:firstLine="400"/>
        <w:rPr>
          <w:rFonts w:ascii="宋体" w:hAnsi="宋体" w:cs="宋体"/>
          <w:szCs w:val="21"/>
          <w:highlight w:val="yellow"/>
        </w:rPr>
      </w:pPr>
      <w:r>
        <w:rPr>
          <w:rFonts w:hint="eastAsia" w:ascii="宋体" w:hAnsi="宋体" w:cs="宋体"/>
          <w:szCs w:val="21"/>
        </w:rPr>
        <w:t>10）液压传动展厅资源数量要求：（所有资源需符合上述展厅资源要求，适配轻量化运行）液压传动资源：不少于5个3D模型展示，不少于4门虚拟仿真实验课程。（提供所投真实产品的功能截图证明材料）</w:t>
      </w:r>
    </w:p>
    <w:p w14:paraId="6DFCC584">
      <w:pPr>
        <w:spacing w:line="360" w:lineRule="auto"/>
        <w:ind w:firstLine="420"/>
        <w:rPr>
          <w:rFonts w:ascii="宋体" w:hAnsi="宋体" w:cs="宋体"/>
          <w:szCs w:val="21"/>
        </w:rPr>
      </w:pPr>
      <w:r>
        <w:rPr>
          <w:rFonts w:hint="eastAsia" w:ascii="宋体" w:hAnsi="宋体" w:cs="宋体"/>
          <w:szCs w:val="21"/>
        </w:rPr>
        <w:t>11) 金工实习展厅资源要求：</w:t>
      </w:r>
    </w:p>
    <w:p w14:paraId="5C924D26">
      <w:pPr>
        <w:spacing w:line="360" w:lineRule="auto"/>
        <w:ind w:firstLine="420"/>
        <w:rPr>
          <w:rFonts w:ascii="宋体" w:hAnsi="宋体" w:cs="宋体"/>
          <w:szCs w:val="21"/>
        </w:rPr>
      </w:pPr>
      <w:r>
        <w:rPr>
          <w:rFonts w:hint="eastAsia" w:ascii="宋体" w:hAnsi="宋体" w:cs="宋体"/>
          <w:szCs w:val="21"/>
        </w:rPr>
        <w:t>金工实习模块：涵盖车工、磨工、刨工、铸造、数控加工、铣工、线切割、焊接、钳工等实操内容，配套数控加工中心、数控车床、X6132万能铣床、电弧焊操作等虚拟仿真实验。至少配套1套视频图文教学资源。</w:t>
      </w:r>
    </w:p>
    <w:p w14:paraId="56D7E3C9">
      <w:pPr>
        <w:spacing w:line="360" w:lineRule="auto"/>
        <w:ind w:firstLine="400"/>
        <w:rPr>
          <w:rFonts w:ascii="宋体" w:hAnsi="宋体" w:cs="宋体"/>
          <w:snapToGrid w:val="0"/>
          <w:color w:val="000000"/>
          <w:kern w:val="21"/>
          <w:szCs w:val="21"/>
        </w:rPr>
      </w:pPr>
      <w:r>
        <w:rPr>
          <w:rFonts w:hint="eastAsia" w:ascii="宋体" w:hAnsi="宋体" w:cs="宋体"/>
          <w:szCs w:val="21"/>
        </w:rPr>
        <w:t>12）金工实习展厅资源数量要求：（所有资源需符合上述展厅资源要求，适配轻量化运行）金工实习资源：不少于1套视频图文教学资源，不少于4门虚拟仿真实验课程。（提供所投真实产品的功能截图证明材料）</w:t>
      </w:r>
    </w:p>
    <w:p w14:paraId="11EB233C">
      <w:pPr>
        <w:pStyle w:val="4"/>
        <w:spacing w:before="0" w:after="0" w:line="460" w:lineRule="exact"/>
        <w:jc w:val="both"/>
      </w:pPr>
      <w:r>
        <w:rPr>
          <w:rFonts w:hint="eastAsia"/>
        </w:rPr>
        <w:t>二、商务要求</w:t>
      </w:r>
    </w:p>
    <w:p w14:paraId="569C77ED">
      <w:pPr>
        <w:pStyle w:val="5"/>
        <w:ind w:firstLine="0" w:firstLineChars="0"/>
        <w:jc w:val="both"/>
        <w:rPr>
          <w:rFonts w:hAnsi="宋体" w:cs="宋体"/>
          <w:sz w:val="21"/>
          <w:szCs w:val="21"/>
        </w:rPr>
      </w:pPr>
      <w:r>
        <w:rPr>
          <w:rFonts w:hint="eastAsia" w:hAnsi="宋体" w:cs="宋体"/>
          <w:sz w:val="21"/>
          <w:szCs w:val="21"/>
        </w:rPr>
        <w:t>（一）合同履行期限（服务期限）、服务地点</w:t>
      </w:r>
    </w:p>
    <w:p w14:paraId="1D788051">
      <w:pPr>
        <w:spacing w:line="360" w:lineRule="auto"/>
        <w:ind w:firstLine="420" w:firstLineChars="200"/>
        <w:rPr>
          <w:rFonts w:ascii="宋体" w:hAnsi="宋体" w:cs="宋体"/>
          <w:b/>
          <w:bCs/>
          <w:szCs w:val="21"/>
        </w:rPr>
      </w:pPr>
      <w:r>
        <w:rPr>
          <w:rFonts w:hint="eastAsia" w:ascii="宋体" w:hAnsi="宋体" w:cs="宋体"/>
          <w:szCs w:val="21"/>
        </w:rPr>
        <w:t>1.合同履行期限（服务期限）：合同签订后40个日历天内完成。</w:t>
      </w:r>
    </w:p>
    <w:p w14:paraId="366DA06B">
      <w:pPr>
        <w:spacing w:line="360" w:lineRule="auto"/>
        <w:ind w:firstLine="420" w:firstLineChars="200"/>
        <w:rPr>
          <w:rFonts w:ascii="宋体" w:hAnsi="宋体" w:cs="宋体"/>
          <w:szCs w:val="21"/>
        </w:rPr>
      </w:pPr>
      <w:r>
        <w:rPr>
          <w:rFonts w:hint="eastAsia" w:ascii="宋体" w:hAnsi="宋体" w:cs="宋体"/>
          <w:szCs w:val="21"/>
        </w:rPr>
        <w:t>2.服务地点：西南林业大学指定地点。</w:t>
      </w:r>
    </w:p>
    <w:p w14:paraId="0E01CEDE">
      <w:pPr>
        <w:pStyle w:val="5"/>
        <w:ind w:firstLine="0" w:firstLineChars="0"/>
        <w:jc w:val="both"/>
        <w:rPr>
          <w:rFonts w:hAnsi="宋体" w:cs="宋体"/>
          <w:sz w:val="21"/>
          <w:szCs w:val="21"/>
        </w:rPr>
      </w:pPr>
      <w:r>
        <w:rPr>
          <w:rFonts w:hint="eastAsia" w:hAnsi="宋体" w:cs="宋体"/>
          <w:sz w:val="21"/>
          <w:szCs w:val="21"/>
        </w:rPr>
        <w:t>★(二)付款方式</w:t>
      </w:r>
    </w:p>
    <w:p w14:paraId="743FB641">
      <w:pPr>
        <w:spacing w:line="440" w:lineRule="exact"/>
        <w:ind w:firstLine="420"/>
        <w:rPr>
          <w:szCs w:val="21"/>
        </w:rPr>
      </w:pPr>
      <w:r>
        <w:rPr>
          <w:rFonts w:hint="eastAsia"/>
          <w:szCs w:val="21"/>
        </w:rPr>
        <w:t>本项目无预付款，甲方在按合同验收标准验收合格，乙方提供符合税务机关要求的正规增值税发票，并履行完相关财务报销手续，财务审核通过后的10个工作日内完成款项支付。</w:t>
      </w:r>
    </w:p>
    <w:p w14:paraId="45E60FA6">
      <w:pPr>
        <w:spacing w:line="440" w:lineRule="exact"/>
        <w:ind w:firstLine="420"/>
        <w:rPr>
          <w:szCs w:val="21"/>
        </w:rPr>
      </w:pPr>
      <w:r>
        <w:rPr>
          <w:rFonts w:hint="eastAsia"/>
          <w:szCs w:val="21"/>
        </w:rPr>
        <w:t>若因乙方未通过验收或提交不符合甲方及税务机关要求的正规增值税发票导致无法正常付款的，相关责任及后果由乙方自行承担。</w:t>
      </w:r>
    </w:p>
    <w:p w14:paraId="202B3BC6">
      <w:pPr>
        <w:spacing w:line="440" w:lineRule="exact"/>
        <w:ind w:firstLine="420"/>
        <w:rPr>
          <w:szCs w:val="21"/>
        </w:rPr>
      </w:pPr>
      <w:r>
        <w:rPr>
          <w:rFonts w:hint="eastAsia"/>
          <w:szCs w:val="21"/>
        </w:rPr>
        <w:t>根据事业单位财务规定，甲方付款至乙方基本账户。</w:t>
      </w:r>
    </w:p>
    <w:p w14:paraId="325424B6">
      <w:pPr>
        <w:spacing w:line="440" w:lineRule="exact"/>
        <w:ind w:firstLine="420"/>
        <w:rPr>
          <w:szCs w:val="21"/>
        </w:rPr>
      </w:pPr>
      <w:r>
        <w:rPr>
          <w:rFonts w:hint="eastAsia"/>
          <w:szCs w:val="21"/>
        </w:rPr>
        <w:t>乙方提供基本账户信息如下：</w:t>
      </w:r>
    </w:p>
    <w:p w14:paraId="1109628B">
      <w:pPr>
        <w:spacing w:line="440" w:lineRule="exact"/>
        <w:ind w:firstLine="420"/>
        <w:rPr>
          <w:szCs w:val="21"/>
        </w:rPr>
      </w:pPr>
      <w:r>
        <w:rPr>
          <w:rFonts w:hint="eastAsia"/>
          <w:szCs w:val="21"/>
        </w:rPr>
        <w:t>开户名：</w:t>
      </w:r>
    </w:p>
    <w:p w14:paraId="1C652DFA">
      <w:pPr>
        <w:spacing w:line="440" w:lineRule="exact"/>
        <w:ind w:firstLine="420"/>
        <w:rPr>
          <w:szCs w:val="21"/>
        </w:rPr>
      </w:pPr>
      <w:r>
        <w:rPr>
          <w:rFonts w:hint="eastAsia"/>
          <w:szCs w:val="21"/>
        </w:rPr>
        <w:t>开户银行：</w:t>
      </w:r>
    </w:p>
    <w:p w14:paraId="59E8B6C7">
      <w:pPr>
        <w:spacing w:line="440" w:lineRule="exact"/>
        <w:ind w:firstLine="420"/>
        <w:rPr>
          <w:szCs w:val="21"/>
        </w:rPr>
      </w:pPr>
      <w:r>
        <w:rPr>
          <w:rFonts w:hint="eastAsia"/>
          <w:szCs w:val="21"/>
        </w:rPr>
        <w:t>账    号：</w:t>
      </w:r>
    </w:p>
    <w:p w14:paraId="331A70DC">
      <w:pPr>
        <w:spacing w:line="440" w:lineRule="exact"/>
        <w:ind w:firstLine="420"/>
        <w:rPr>
          <w:szCs w:val="21"/>
        </w:rPr>
      </w:pPr>
      <w:r>
        <w:rPr>
          <w:rFonts w:hint="eastAsia"/>
          <w:szCs w:val="21"/>
        </w:rPr>
        <w:t>统一社会信用代码：</w:t>
      </w:r>
    </w:p>
    <w:p w14:paraId="3EDBF754">
      <w:pPr>
        <w:autoSpaceDE w:val="0"/>
        <w:autoSpaceDN w:val="0"/>
        <w:adjustRightInd w:val="0"/>
        <w:spacing w:line="460" w:lineRule="exact"/>
        <w:ind w:firstLine="420" w:firstLineChars="200"/>
        <w:jc w:val="left"/>
        <w:rPr>
          <w:rFonts w:ascii="宋体" w:hAnsi="宋体" w:cs="宋体"/>
          <w:b/>
          <w:bCs/>
          <w:szCs w:val="21"/>
        </w:rPr>
      </w:pPr>
      <w:r>
        <w:rPr>
          <w:rFonts w:hint="eastAsia"/>
          <w:szCs w:val="21"/>
        </w:rPr>
        <w:t>乙方保证提供的基本账户信息准确无误。如乙方提供的基本账户信息有问题导致付款出错由乙方对产生的后果负责。</w:t>
      </w:r>
    </w:p>
    <w:p w14:paraId="767E88A7">
      <w:pPr>
        <w:autoSpaceDE w:val="0"/>
        <w:autoSpaceDN w:val="0"/>
        <w:adjustRightInd w:val="0"/>
        <w:spacing w:line="460" w:lineRule="exact"/>
        <w:jc w:val="left"/>
        <w:outlineLvl w:val="2"/>
        <w:rPr>
          <w:rFonts w:ascii="宋体" w:hAnsi="宋体" w:cs="宋体"/>
          <w:b/>
          <w:bCs/>
          <w:szCs w:val="21"/>
        </w:rPr>
      </w:pPr>
      <w:r>
        <w:rPr>
          <w:rFonts w:hint="eastAsia" w:ascii="宋体" w:hAnsi="宋体" w:cs="宋体"/>
          <w:b/>
          <w:bCs/>
          <w:szCs w:val="21"/>
        </w:rPr>
        <w:t>（三）售后服务要求</w:t>
      </w:r>
    </w:p>
    <w:p w14:paraId="71422710">
      <w:pPr>
        <w:autoSpaceDE w:val="0"/>
        <w:autoSpaceDN w:val="0"/>
        <w:adjustRightInd w:val="0"/>
        <w:spacing w:line="460" w:lineRule="exact"/>
        <w:ind w:firstLine="420" w:firstLineChars="200"/>
        <w:jc w:val="left"/>
        <w:rPr>
          <w:rFonts w:ascii="宋体" w:hAnsi="宋体" w:cs="宋体"/>
          <w:color w:val="000000"/>
          <w:szCs w:val="21"/>
        </w:rPr>
      </w:pPr>
      <w:r>
        <w:rPr>
          <w:rFonts w:hint="eastAsia" w:ascii="宋体" w:hAnsi="宋体" w:cs="宋体"/>
          <w:color w:val="000000"/>
          <w:szCs w:val="21"/>
        </w:rPr>
        <w:t>1.供应商需要每年对数据库进行更新迭代；</w:t>
      </w:r>
    </w:p>
    <w:p w14:paraId="444DE88A">
      <w:pPr>
        <w:autoSpaceDE w:val="0"/>
        <w:autoSpaceDN w:val="0"/>
        <w:adjustRightInd w:val="0"/>
        <w:spacing w:line="460" w:lineRule="exact"/>
        <w:ind w:firstLine="420" w:firstLineChars="200"/>
        <w:jc w:val="left"/>
        <w:rPr>
          <w:rFonts w:ascii="宋体" w:hAnsi="宋体" w:cs="宋体"/>
          <w:color w:val="000000"/>
          <w:szCs w:val="21"/>
        </w:rPr>
      </w:pPr>
      <w:r>
        <w:rPr>
          <w:rFonts w:hint="eastAsia" w:ascii="宋体" w:hAnsi="宋体" w:cs="宋体"/>
          <w:color w:val="000000"/>
          <w:szCs w:val="21"/>
        </w:rPr>
        <w:t>2.供应商需要定期进行数据的备份工作；</w:t>
      </w:r>
    </w:p>
    <w:p w14:paraId="1820AC22">
      <w:pPr>
        <w:autoSpaceDE w:val="0"/>
        <w:autoSpaceDN w:val="0"/>
        <w:adjustRightInd w:val="0"/>
        <w:spacing w:line="460" w:lineRule="exact"/>
        <w:ind w:firstLine="420" w:firstLineChars="200"/>
        <w:jc w:val="left"/>
        <w:rPr>
          <w:rFonts w:ascii="宋体" w:hAnsi="宋体" w:cs="宋体"/>
          <w:color w:val="000000"/>
          <w:szCs w:val="21"/>
        </w:rPr>
      </w:pPr>
      <w:r>
        <w:rPr>
          <w:rFonts w:hint="eastAsia" w:ascii="宋体" w:hAnsi="宋体" w:cs="宋体"/>
          <w:color w:val="000000"/>
          <w:szCs w:val="21"/>
        </w:rPr>
        <w:t>3.供应商应保证对使用客户群体每学年不低于</w:t>
      </w:r>
      <w:r>
        <w:rPr>
          <w:rFonts w:hint="eastAsia" w:ascii="宋体" w:hAnsi="宋体" w:cs="宋体"/>
          <w:szCs w:val="21"/>
        </w:rPr>
        <w:t>2</w:t>
      </w:r>
      <w:r>
        <w:rPr>
          <w:rFonts w:hint="eastAsia" w:ascii="宋体" w:hAnsi="宋体" w:cs="宋体"/>
          <w:color w:val="000000"/>
          <w:szCs w:val="21"/>
        </w:rPr>
        <w:t>次免费培训、免费咨询服务；</w:t>
      </w:r>
    </w:p>
    <w:p w14:paraId="79F67D2D">
      <w:pPr>
        <w:autoSpaceDE w:val="0"/>
        <w:autoSpaceDN w:val="0"/>
        <w:adjustRightInd w:val="0"/>
        <w:spacing w:line="460" w:lineRule="exact"/>
        <w:ind w:firstLine="420" w:firstLineChars="200"/>
        <w:jc w:val="left"/>
        <w:rPr>
          <w:rFonts w:ascii="宋体" w:hAnsi="宋体" w:cs="宋体"/>
          <w:color w:val="000000"/>
          <w:szCs w:val="21"/>
        </w:rPr>
      </w:pPr>
      <w:r>
        <w:rPr>
          <w:rFonts w:hint="eastAsia" w:ascii="宋体" w:hAnsi="宋体" w:cs="宋体"/>
          <w:color w:val="000000"/>
          <w:szCs w:val="21"/>
        </w:rPr>
        <w:t>4.对用户报修，承诺即时响应，售后工程师8小时内到达现场，提供7*24小时电话服务；</w:t>
      </w:r>
    </w:p>
    <w:p w14:paraId="2EC5766B">
      <w:pPr>
        <w:autoSpaceDE w:val="0"/>
        <w:autoSpaceDN w:val="0"/>
        <w:adjustRightInd w:val="0"/>
        <w:spacing w:line="460" w:lineRule="exact"/>
        <w:ind w:firstLine="420" w:firstLineChars="200"/>
        <w:jc w:val="left"/>
        <w:rPr>
          <w:rFonts w:ascii="宋体" w:hAnsi="宋体" w:cs="宋体"/>
          <w:color w:val="FF0000"/>
          <w:szCs w:val="21"/>
        </w:rPr>
      </w:pPr>
      <w:r>
        <w:rPr>
          <w:rFonts w:hint="eastAsia" w:ascii="宋体" w:hAnsi="宋体" w:cs="宋体"/>
          <w:color w:val="000000"/>
          <w:szCs w:val="21"/>
        </w:rPr>
        <w:t>5.供应商应保证负责在合同规定期限内免费对数据库及相关软件系统的安装与调试，并保证数据库的良好运行。</w:t>
      </w:r>
    </w:p>
    <w:p w14:paraId="3468112C">
      <w:pPr>
        <w:autoSpaceDE w:val="0"/>
        <w:autoSpaceDN w:val="0"/>
        <w:adjustRightInd w:val="0"/>
        <w:spacing w:line="460" w:lineRule="exact"/>
        <w:jc w:val="left"/>
        <w:outlineLvl w:val="2"/>
        <w:rPr>
          <w:rFonts w:ascii="宋体" w:hAnsi="宋体" w:cs="宋体"/>
          <w:b/>
          <w:bCs/>
          <w:szCs w:val="21"/>
        </w:rPr>
      </w:pPr>
      <w:r>
        <w:rPr>
          <w:rFonts w:hint="eastAsia" w:ascii="宋体" w:hAnsi="宋体" w:cs="宋体"/>
          <w:b/>
          <w:bCs/>
          <w:szCs w:val="21"/>
        </w:rPr>
        <w:t>（四）质量要求及验收要求</w:t>
      </w:r>
    </w:p>
    <w:p w14:paraId="3EE7A8E0">
      <w:pPr>
        <w:spacing w:line="460" w:lineRule="exact"/>
        <w:ind w:firstLine="420" w:firstLineChars="200"/>
        <w:rPr>
          <w:rFonts w:ascii="宋体" w:hAnsi="宋体" w:cs="宋体"/>
          <w:szCs w:val="21"/>
        </w:rPr>
      </w:pPr>
      <w:r>
        <w:rPr>
          <w:rFonts w:hint="eastAsia" w:ascii="宋体" w:hAnsi="宋体" w:cs="宋体"/>
          <w:szCs w:val="21"/>
        </w:rPr>
        <w:t>1.提供的产品是全新的、符合国家质量标准、具有生产厂家质量保证书（及合格证明）的产品；</w:t>
      </w:r>
    </w:p>
    <w:p w14:paraId="09C3E891">
      <w:pPr>
        <w:spacing w:line="460" w:lineRule="exact"/>
        <w:ind w:firstLine="420" w:firstLineChars="200"/>
        <w:rPr>
          <w:rFonts w:ascii="宋体" w:hAnsi="宋体" w:cs="宋体"/>
          <w:szCs w:val="21"/>
        </w:rPr>
      </w:pPr>
      <w:r>
        <w:rPr>
          <w:rFonts w:hint="eastAsia" w:ascii="宋体" w:hAnsi="宋体" w:cs="宋体"/>
          <w:szCs w:val="21"/>
        </w:rPr>
        <w:t>2.项目验收：供应商负责设备安装和调试，完工后，甲方测试是否合格并满足技术要求；验收测试按国家相关的规定和标准执行。</w:t>
      </w:r>
    </w:p>
    <w:p w14:paraId="11A17056">
      <w:pPr>
        <w:autoSpaceDE w:val="0"/>
        <w:autoSpaceDN w:val="0"/>
        <w:adjustRightInd w:val="0"/>
        <w:spacing w:line="460" w:lineRule="exact"/>
        <w:jc w:val="left"/>
        <w:outlineLvl w:val="2"/>
        <w:rPr>
          <w:rFonts w:hint="default" w:ascii="宋体" w:hAnsi="宋体" w:eastAsia="宋体" w:cs="宋体"/>
          <w:b/>
          <w:bCs/>
          <w:szCs w:val="21"/>
          <w:lang w:val="en-US" w:eastAsia="zh-CN"/>
        </w:rPr>
      </w:pPr>
      <w:r>
        <w:rPr>
          <w:rFonts w:hint="eastAsia" w:ascii="宋体" w:hAnsi="宋体" w:cs="宋体"/>
          <w:b/>
          <w:bCs/>
          <w:szCs w:val="21"/>
        </w:rPr>
        <w:t>（五）</w:t>
      </w:r>
      <w:r>
        <w:rPr>
          <w:rFonts w:hint="eastAsia" w:ascii="宋体" w:hAnsi="宋体" w:cs="宋体"/>
          <w:b/>
          <w:bCs/>
          <w:szCs w:val="21"/>
          <w:lang w:val="en-US" w:eastAsia="zh-CN"/>
        </w:rPr>
        <w:t>知识产权</w:t>
      </w:r>
    </w:p>
    <w:p w14:paraId="4DFCB871">
      <w:pPr>
        <w:keepNext w:val="0"/>
        <w:keepLines w:val="0"/>
        <w:pageBreakBefore w:val="0"/>
        <w:widowControl w:val="0"/>
        <w:kinsoku/>
        <w:wordWrap/>
        <w:overflowPunct/>
        <w:topLinePunct w:val="0"/>
        <w:autoSpaceDE w:val="0"/>
        <w:autoSpaceDN w:val="0"/>
        <w:bidi w:val="0"/>
        <w:adjustRightInd w:val="0"/>
        <w:snapToGrid/>
        <w:spacing w:line="460" w:lineRule="exact"/>
        <w:ind w:firstLine="420" w:firstLineChars="200"/>
        <w:jc w:val="left"/>
        <w:textAlignment w:val="auto"/>
        <w:outlineLvl w:val="2"/>
        <w:rPr>
          <w:rFonts w:hint="eastAsia" w:ascii="宋体" w:hAnsi="宋体" w:cs="宋体"/>
          <w:b w:val="0"/>
          <w:bCs w:val="0"/>
          <w:szCs w:val="21"/>
          <w:lang w:eastAsia="zh-CN"/>
        </w:rPr>
      </w:pPr>
      <w:r>
        <w:rPr>
          <w:rFonts w:hint="eastAsia" w:ascii="宋体" w:hAnsi="宋体" w:cs="宋体"/>
          <w:b w:val="0"/>
          <w:bCs w:val="0"/>
          <w:szCs w:val="21"/>
          <w:lang w:eastAsia="zh-CN"/>
        </w:rPr>
        <w:t>1.项目知识产权归属采购人所有，供应商不得在未经采购人许可下保留、传播和使用课程成果。</w:t>
      </w:r>
    </w:p>
    <w:p w14:paraId="6B789CBB">
      <w:pPr>
        <w:keepNext w:val="0"/>
        <w:keepLines w:val="0"/>
        <w:pageBreakBefore w:val="0"/>
        <w:widowControl w:val="0"/>
        <w:kinsoku/>
        <w:wordWrap/>
        <w:overflowPunct/>
        <w:topLinePunct w:val="0"/>
        <w:autoSpaceDE w:val="0"/>
        <w:autoSpaceDN w:val="0"/>
        <w:bidi w:val="0"/>
        <w:adjustRightInd w:val="0"/>
        <w:snapToGrid/>
        <w:spacing w:line="460" w:lineRule="exact"/>
        <w:ind w:firstLine="420" w:firstLineChars="200"/>
        <w:jc w:val="left"/>
        <w:textAlignment w:val="auto"/>
        <w:outlineLvl w:val="2"/>
        <w:rPr>
          <w:rFonts w:hint="eastAsia" w:ascii="宋体" w:hAnsi="宋体" w:cs="宋体"/>
          <w:b w:val="0"/>
          <w:bCs w:val="0"/>
          <w:szCs w:val="21"/>
          <w:lang w:eastAsia="zh-CN"/>
        </w:rPr>
      </w:pPr>
      <w:r>
        <w:rPr>
          <w:rFonts w:hint="eastAsia" w:ascii="宋体" w:hAnsi="宋体" w:cs="宋体"/>
          <w:b w:val="0"/>
          <w:bCs w:val="0"/>
          <w:szCs w:val="21"/>
          <w:lang w:eastAsia="zh-CN"/>
        </w:rPr>
        <w:t>2.供应商保证所提供的数字资源产品及服务的整体、部分或内置软件等权属清楚明析，不存在侵害第三人合法权益(包括但不限于知识产权、所有权等)的情形。若采购人在使用过程中遭遇产权纠纷等与采购的产品相关的争议,供应商确认采购人不承担违约责任；若导致第三人向校方提起诉讼、仲裁或其他主张的，供应商将及时参与相关程序、积极出面解决,并承担全部赔偿责任，同时还应赔偿采购人相应损失，采购人保留追究供应商责任的权利。</w:t>
      </w:r>
    </w:p>
    <w:p w14:paraId="622F51D6">
      <w:pPr>
        <w:autoSpaceDE w:val="0"/>
        <w:autoSpaceDN w:val="0"/>
        <w:adjustRightInd w:val="0"/>
        <w:spacing w:line="460" w:lineRule="exact"/>
        <w:jc w:val="left"/>
        <w:outlineLvl w:val="2"/>
        <w:rPr>
          <w:rFonts w:ascii="宋体" w:hAnsi="宋体" w:cs="宋体"/>
          <w:szCs w:val="21"/>
        </w:rPr>
      </w:pPr>
      <w:r>
        <w:rPr>
          <w:rFonts w:hint="eastAsia" w:ascii="宋体" w:hAnsi="宋体" w:cs="宋体"/>
          <w:b/>
          <w:bCs/>
          <w:szCs w:val="21"/>
          <w:lang w:eastAsia="zh-CN"/>
        </w:rPr>
        <w:t>（</w:t>
      </w:r>
      <w:r>
        <w:rPr>
          <w:rFonts w:hint="eastAsia" w:ascii="宋体" w:hAnsi="宋体" w:cs="宋体"/>
          <w:b/>
          <w:bCs/>
          <w:szCs w:val="21"/>
          <w:lang w:val="en-US" w:eastAsia="zh-CN"/>
        </w:rPr>
        <w:t>六</w:t>
      </w:r>
      <w:r>
        <w:rPr>
          <w:rFonts w:hint="eastAsia" w:ascii="宋体" w:hAnsi="宋体" w:cs="宋体"/>
          <w:b/>
          <w:bCs/>
          <w:szCs w:val="21"/>
          <w:lang w:eastAsia="zh-CN"/>
        </w:rPr>
        <w:t>）</w:t>
      </w:r>
      <w:r>
        <w:rPr>
          <w:rFonts w:hint="eastAsia" w:ascii="宋体" w:hAnsi="宋体" w:cs="宋体"/>
          <w:b/>
          <w:bCs/>
          <w:szCs w:val="21"/>
        </w:rPr>
        <w:t>其他要求</w:t>
      </w:r>
    </w:p>
    <w:p w14:paraId="011F98DF">
      <w:pPr>
        <w:spacing w:line="460" w:lineRule="exact"/>
        <w:ind w:firstLine="420" w:firstLineChars="200"/>
        <w:rPr>
          <w:rFonts w:ascii="宋体" w:hAnsi="宋体" w:cs="宋体"/>
          <w:szCs w:val="21"/>
        </w:rPr>
      </w:pPr>
      <w:r>
        <w:rPr>
          <w:rFonts w:hint="eastAsia" w:ascii="宋体" w:hAnsi="宋体" w:cs="宋体"/>
          <w:szCs w:val="21"/>
        </w:rPr>
        <w:t>1.成交供应商应在响应文件中明确列出用户培训计划、列出使用过程中的技术服务条款。</w:t>
      </w:r>
    </w:p>
    <w:p w14:paraId="6F59D23C">
      <w:pPr>
        <w:spacing w:line="460" w:lineRule="exact"/>
        <w:ind w:firstLine="420" w:firstLineChars="200"/>
        <w:rPr>
          <w:rFonts w:ascii="宋体" w:hAnsi="宋体" w:cs="宋体"/>
          <w:szCs w:val="21"/>
        </w:rPr>
      </w:pPr>
      <w:r>
        <w:rPr>
          <w:rFonts w:hint="eastAsia" w:ascii="宋体" w:hAnsi="宋体" w:cs="宋体"/>
          <w:szCs w:val="21"/>
        </w:rPr>
        <w:t>2.供应商须保证使用方在使用期间不受第三方提出侵犯其专利权、商标权和工业设计权的起诉。</w:t>
      </w:r>
    </w:p>
    <w:p w14:paraId="28665CE5">
      <w:pPr>
        <w:spacing w:line="460" w:lineRule="exact"/>
        <w:ind w:firstLine="420" w:firstLineChars="200"/>
        <w:rPr>
          <w:rFonts w:ascii="宋体" w:hAnsi="宋体" w:cs="宋体"/>
          <w:szCs w:val="21"/>
        </w:rPr>
      </w:pPr>
      <w:r>
        <w:rPr>
          <w:rFonts w:hint="eastAsia" w:ascii="宋体" w:hAnsi="宋体" w:cs="宋体"/>
          <w:szCs w:val="21"/>
        </w:rPr>
        <w:t>3.供应商应对在项目维护的过程中，涉及到甲方的经营信息等商业秘密进行保密。双方应共同对系统中涉及的技术情报和资料进行保密。</w:t>
      </w:r>
    </w:p>
    <w:p w14:paraId="4D646425">
      <w:pPr>
        <w:jc w:val="left"/>
        <w:rPr>
          <w:rFonts w:ascii="黑体" w:hAnsi="黑体" w:eastAsia="黑体" w:cs="黑体"/>
          <w:b/>
          <w:bCs/>
          <w:kern w:val="44"/>
          <w:sz w:val="32"/>
          <w:szCs w:val="32"/>
        </w:rPr>
      </w:pPr>
      <w:bookmarkStart w:id="480" w:name="_Toc86124092"/>
      <w:bookmarkStart w:id="481" w:name="_Toc3638"/>
      <w:bookmarkStart w:id="482" w:name="_Toc20835"/>
      <w:bookmarkStart w:id="483" w:name="OLE_LINK128"/>
      <w:r>
        <w:rPr>
          <w:rFonts w:hint="eastAsia" w:ascii="黑体" w:hAnsi="黑体" w:eastAsia="黑体" w:cs="黑体"/>
          <w:b/>
          <w:bCs/>
          <w:kern w:val="44"/>
          <w:sz w:val="32"/>
          <w:szCs w:val="32"/>
        </w:rPr>
        <w:br w:type="page"/>
      </w:r>
    </w:p>
    <w:p w14:paraId="7CA38626">
      <w:pPr>
        <w:spacing w:line="360" w:lineRule="auto"/>
        <w:jc w:val="center"/>
        <w:outlineLvl w:val="0"/>
        <w:rPr>
          <w:rFonts w:ascii="黑体" w:hAnsi="黑体" w:eastAsia="黑体" w:cs="黑体"/>
          <w:b/>
          <w:bCs/>
          <w:kern w:val="44"/>
          <w:sz w:val="32"/>
          <w:szCs w:val="32"/>
        </w:rPr>
      </w:pPr>
      <w:r>
        <w:rPr>
          <w:rFonts w:hint="eastAsia" w:ascii="黑体" w:hAnsi="黑体" w:eastAsia="黑体" w:cs="黑体"/>
          <w:b/>
          <w:bCs/>
          <w:kern w:val="44"/>
          <w:sz w:val="32"/>
          <w:szCs w:val="32"/>
        </w:rPr>
        <w:t xml:space="preserve">第六章  </w:t>
      </w:r>
      <w:bookmarkEnd w:id="480"/>
      <w:r>
        <w:rPr>
          <w:rFonts w:hint="eastAsia" w:ascii="黑体" w:hAnsi="黑体" w:eastAsia="黑体" w:cs="黑体"/>
          <w:b/>
          <w:bCs/>
          <w:kern w:val="44"/>
          <w:sz w:val="32"/>
          <w:szCs w:val="32"/>
        </w:rPr>
        <w:t>评审方法</w:t>
      </w:r>
      <w:bookmarkEnd w:id="481"/>
      <w:bookmarkEnd w:id="482"/>
    </w:p>
    <w:p w14:paraId="3AF7CD4E">
      <w:pPr>
        <w:pStyle w:val="4"/>
        <w:spacing w:before="0" w:after="0"/>
        <w:rPr>
          <w:rFonts w:ascii="黑体" w:hAnsi="黑体" w:eastAsia="黑体" w:cs="黑体"/>
          <w:snapToGrid w:val="0"/>
          <w:kern w:val="21"/>
          <w:szCs w:val="28"/>
        </w:rPr>
      </w:pPr>
      <w:bookmarkStart w:id="484" w:name="_Toc6198"/>
      <w:bookmarkStart w:id="485" w:name="_Toc191374457"/>
      <w:bookmarkStart w:id="486" w:name="_Toc498050689"/>
      <w:bookmarkStart w:id="487" w:name="_Toc86124093"/>
      <w:bookmarkStart w:id="488" w:name="_Toc9217"/>
      <w:r>
        <w:rPr>
          <w:rFonts w:hint="eastAsia" w:ascii="黑体" w:hAnsi="黑体" w:eastAsia="黑体" w:cs="黑体"/>
          <w:snapToGrid w:val="0"/>
          <w:kern w:val="21"/>
          <w:szCs w:val="28"/>
        </w:rPr>
        <w:t>评审方法前附表</w:t>
      </w:r>
      <w:bookmarkEnd w:id="484"/>
      <w:bookmarkEnd w:id="485"/>
      <w:bookmarkEnd w:id="486"/>
      <w:bookmarkEnd w:id="487"/>
      <w:bookmarkEnd w:id="488"/>
    </w:p>
    <w:tbl>
      <w:tblPr>
        <w:tblStyle w:val="38"/>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002"/>
        <w:gridCol w:w="1821"/>
        <w:gridCol w:w="5940"/>
      </w:tblGrid>
      <w:tr w14:paraId="0453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blHeader/>
          <w:jc w:val="center"/>
        </w:trPr>
        <w:tc>
          <w:tcPr>
            <w:tcW w:w="1768" w:type="dxa"/>
            <w:gridSpan w:val="2"/>
            <w:vAlign w:val="center"/>
          </w:tcPr>
          <w:p w14:paraId="3793D142">
            <w:pPr>
              <w:spacing w:line="360" w:lineRule="auto"/>
              <w:jc w:val="center"/>
              <w:rPr>
                <w:rFonts w:ascii="宋体" w:hAnsi="宋体" w:cs="宋体"/>
                <w:b/>
                <w:szCs w:val="21"/>
              </w:rPr>
            </w:pPr>
            <w:bookmarkStart w:id="489" w:name="OLE_LINK116" w:colFirst="0" w:colLast="2"/>
            <w:r>
              <w:rPr>
                <w:rFonts w:hint="eastAsia" w:ascii="宋体" w:hAnsi="宋体" w:cs="宋体"/>
                <w:b/>
                <w:szCs w:val="21"/>
              </w:rPr>
              <w:t>条款号</w:t>
            </w:r>
          </w:p>
        </w:tc>
        <w:tc>
          <w:tcPr>
            <w:tcW w:w="1821" w:type="dxa"/>
            <w:vAlign w:val="center"/>
          </w:tcPr>
          <w:p w14:paraId="74106C71">
            <w:pPr>
              <w:spacing w:line="360" w:lineRule="auto"/>
              <w:jc w:val="center"/>
              <w:rPr>
                <w:rFonts w:ascii="宋体" w:hAnsi="宋体" w:cs="宋体"/>
                <w:b/>
                <w:szCs w:val="21"/>
              </w:rPr>
            </w:pPr>
            <w:r>
              <w:rPr>
                <w:rFonts w:hint="eastAsia" w:ascii="宋体" w:hAnsi="宋体" w:cs="宋体"/>
                <w:b/>
                <w:szCs w:val="21"/>
              </w:rPr>
              <w:t>评审因素</w:t>
            </w:r>
          </w:p>
        </w:tc>
        <w:tc>
          <w:tcPr>
            <w:tcW w:w="5940" w:type="dxa"/>
            <w:vAlign w:val="center"/>
          </w:tcPr>
          <w:p w14:paraId="75374873">
            <w:pPr>
              <w:spacing w:line="360" w:lineRule="auto"/>
              <w:jc w:val="center"/>
              <w:rPr>
                <w:rFonts w:ascii="宋体" w:hAnsi="宋体" w:cs="宋体"/>
                <w:b/>
                <w:szCs w:val="21"/>
              </w:rPr>
            </w:pPr>
            <w:r>
              <w:rPr>
                <w:rFonts w:hint="eastAsia" w:ascii="宋体" w:hAnsi="宋体" w:cs="宋体"/>
                <w:b/>
                <w:szCs w:val="21"/>
              </w:rPr>
              <w:t>评审标准</w:t>
            </w:r>
          </w:p>
          <w:bookmarkEnd w:id="489"/>
        </w:tc>
      </w:tr>
      <w:tr w14:paraId="6425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exact"/>
          <w:jc w:val="center"/>
        </w:trPr>
        <w:tc>
          <w:tcPr>
            <w:tcW w:w="766" w:type="dxa"/>
            <w:vMerge w:val="restart"/>
            <w:vAlign w:val="center"/>
          </w:tcPr>
          <w:p w14:paraId="16C0918D">
            <w:pPr>
              <w:spacing w:line="360" w:lineRule="auto"/>
              <w:jc w:val="center"/>
              <w:rPr>
                <w:rFonts w:ascii="宋体" w:hAnsi="宋体" w:cs="宋体"/>
                <w:szCs w:val="21"/>
              </w:rPr>
            </w:pPr>
            <w:bookmarkStart w:id="490" w:name="OLE_LINK115" w:colFirst="0" w:colLast="3"/>
            <w:r>
              <w:rPr>
                <w:rFonts w:hint="eastAsia" w:ascii="宋体" w:hAnsi="宋体" w:cs="宋体"/>
                <w:bCs/>
                <w:szCs w:val="21"/>
              </w:rPr>
              <w:t>2.1</w:t>
            </w:r>
          </w:p>
        </w:tc>
        <w:tc>
          <w:tcPr>
            <w:tcW w:w="1002" w:type="dxa"/>
            <w:vAlign w:val="center"/>
          </w:tcPr>
          <w:p w14:paraId="048A916D">
            <w:pPr>
              <w:spacing w:line="360" w:lineRule="auto"/>
              <w:jc w:val="center"/>
              <w:rPr>
                <w:rFonts w:ascii="宋体" w:hAnsi="宋体" w:cs="宋体"/>
                <w:szCs w:val="21"/>
              </w:rPr>
            </w:pPr>
            <w:bookmarkStart w:id="491" w:name="OLE_LINK302"/>
            <w:bookmarkStart w:id="492" w:name="OLE_LINK117" w:colFirst="1" w:colLast="3"/>
            <w:r>
              <w:rPr>
                <w:rFonts w:hint="eastAsia" w:ascii="宋体" w:hAnsi="宋体" w:cs="宋体"/>
                <w:szCs w:val="21"/>
              </w:rPr>
              <w:t>资格审</w:t>
            </w:r>
          </w:p>
          <w:p w14:paraId="6FEE7521">
            <w:pPr>
              <w:spacing w:line="360" w:lineRule="auto"/>
              <w:jc w:val="center"/>
              <w:rPr>
                <w:rFonts w:ascii="宋体" w:hAnsi="宋体" w:cs="宋体"/>
                <w:bCs/>
                <w:szCs w:val="21"/>
              </w:rPr>
            </w:pPr>
            <w:r>
              <w:rPr>
                <w:rFonts w:hint="eastAsia" w:ascii="宋体" w:hAnsi="宋体" w:cs="宋体"/>
                <w:szCs w:val="21"/>
              </w:rPr>
              <w:t>查标准</w:t>
            </w:r>
            <w:bookmarkEnd w:id="491"/>
          </w:p>
        </w:tc>
        <w:tc>
          <w:tcPr>
            <w:tcW w:w="1821" w:type="dxa"/>
            <w:vAlign w:val="center"/>
          </w:tcPr>
          <w:p w14:paraId="3C2231FB">
            <w:pPr>
              <w:spacing w:line="360" w:lineRule="auto"/>
              <w:jc w:val="center"/>
              <w:rPr>
                <w:rFonts w:ascii="宋体" w:hAnsi="宋体" w:cs="宋体"/>
                <w:bCs/>
                <w:szCs w:val="21"/>
              </w:rPr>
            </w:pPr>
            <w:r>
              <w:rPr>
                <w:rFonts w:hint="eastAsia" w:ascii="宋体" w:hAnsi="宋体" w:cs="宋体"/>
                <w:bCs/>
                <w:szCs w:val="21"/>
              </w:rPr>
              <w:t>资格条件</w:t>
            </w:r>
          </w:p>
        </w:tc>
        <w:tc>
          <w:tcPr>
            <w:tcW w:w="5940" w:type="dxa"/>
            <w:vAlign w:val="center"/>
          </w:tcPr>
          <w:p w14:paraId="1EE8C4C6">
            <w:pPr>
              <w:spacing w:line="360" w:lineRule="auto"/>
              <w:jc w:val="left"/>
              <w:rPr>
                <w:rFonts w:ascii="宋体" w:hAnsi="宋体" w:cs="宋体"/>
                <w:bCs/>
                <w:szCs w:val="21"/>
              </w:rPr>
            </w:pPr>
            <w:bookmarkStart w:id="493" w:name="OLE_LINK100" w:colFirst="3" w:colLast="3"/>
            <w:r>
              <w:rPr>
                <w:rFonts w:hint="eastAsia" w:ascii="宋体" w:hAnsi="宋体" w:cs="宋体"/>
                <w:bCs/>
                <w:szCs w:val="21"/>
              </w:rPr>
              <w:t>符合第二章“供应商须知”第3.1项规定</w:t>
            </w:r>
          </w:p>
          <w:bookmarkEnd w:id="490"/>
          <w:bookmarkEnd w:id="492"/>
        </w:tc>
      </w:tr>
      <w:tr w14:paraId="1299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766" w:type="dxa"/>
            <w:vMerge w:val="continue"/>
            <w:vAlign w:val="center"/>
          </w:tcPr>
          <w:p w14:paraId="193B2A6B">
            <w:pPr>
              <w:spacing w:line="360" w:lineRule="auto"/>
              <w:jc w:val="center"/>
              <w:rPr>
                <w:rFonts w:ascii="宋体" w:hAnsi="宋体" w:cs="宋体"/>
                <w:szCs w:val="21"/>
              </w:rPr>
            </w:pPr>
          </w:p>
        </w:tc>
        <w:tc>
          <w:tcPr>
            <w:tcW w:w="1002" w:type="dxa"/>
            <w:vMerge w:val="restart"/>
            <w:vAlign w:val="center"/>
          </w:tcPr>
          <w:p w14:paraId="542EA1E2">
            <w:pPr>
              <w:spacing w:line="360" w:lineRule="auto"/>
              <w:jc w:val="center"/>
              <w:rPr>
                <w:rFonts w:ascii="宋体" w:hAnsi="宋体" w:cs="宋体"/>
                <w:szCs w:val="21"/>
              </w:rPr>
            </w:pPr>
            <w:r>
              <w:rPr>
                <w:rFonts w:hint="eastAsia" w:hAnsi="宋体"/>
                <w:szCs w:val="21"/>
              </w:rPr>
              <w:t>其他</w:t>
            </w:r>
          </w:p>
        </w:tc>
        <w:tc>
          <w:tcPr>
            <w:tcW w:w="1821" w:type="dxa"/>
            <w:vAlign w:val="center"/>
          </w:tcPr>
          <w:p w14:paraId="1AD29427">
            <w:pPr>
              <w:spacing w:line="360" w:lineRule="auto"/>
              <w:jc w:val="center"/>
              <w:rPr>
                <w:rFonts w:ascii="宋体" w:hAnsi="宋体" w:cs="宋体"/>
                <w:szCs w:val="21"/>
              </w:rPr>
            </w:pPr>
            <w:r>
              <w:rPr>
                <w:rFonts w:hint="eastAsia" w:ascii="宋体" w:hAnsi="宋体" w:cs="宋体"/>
                <w:szCs w:val="21"/>
              </w:rPr>
              <w:t>响应文件有效期</w:t>
            </w:r>
          </w:p>
        </w:tc>
        <w:tc>
          <w:tcPr>
            <w:tcW w:w="5940" w:type="dxa"/>
            <w:vAlign w:val="center"/>
          </w:tcPr>
          <w:p w14:paraId="347CFFB7">
            <w:pPr>
              <w:spacing w:line="360" w:lineRule="auto"/>
              <w:jc w:val="left"/>
              <w:rPr>
                <w:rFonts w:ascii="宋体" w:hAnsi="宋体" w:cs="宋体"/>
                <w:szCs w:val="21"/>
              </w:rPr>
            </w:pPr>
            <w:r>
              <w:rPr>
                <w:rFonts w:hint="eastAsia" w:ascii="宋体" w:hAnsi="宋体" w:cs="宋体"/>
                <w:szCs w:val="21"/>
              </w:rPr>
              <w:t>符合第二章“供应商须知”第</w:t>
            </w:r>
            <w:bookmarkStart w:id="494" w:name="OLE_LINK101"/>
            <w:r>
              <w:rPr>
                <w:rFonts w:hint="eastAsia" w:ascii="宋体" w:hAnsi="宋体" w:cs="宋体"/>
                <w:szCs w:val="21"/>
              </w:rPr>
              <w:t>17.1</w:t>
            </w:r>
            <w:bookmarkEnd w:id="494"/>
            <w:r>
              <w:rPr>
                <w:rFonts w:hint="eastAsia" w:ascii="宋体" w:hAnsi="宋体" w:cs="宋体"/>
                <w:szCs w:val="21"/>
              </w:rPr>
              <w:t>项规定</w:t>
            </w:r>
          </w:p>
        </w:tc>
      </w:tr>
      <w:bookmarkEnd w:id="483"/>
      <w:tr w14:paraId="3FF4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766" w:type="dxa"/>
            <w:vMerge w:val="continue"/>
            <w:vAlign w:val="center"/>
          </w:tcPr>
          <w:p w14:paraId="1F11313F">
            <w:pPr>
              <w:spacing w:line="360" w:lineRule="auto"/>
              <w:jc w:val="center"/>
              <w:rPr>
                <w:rFonts w:ascii="宋体" w:hAnsi="宋体" w:cs="宋体"/>
                <w:szCs w:val="21"/>
              </w:rPr>
            </w:pPr>
          </w:p>
        </w:tc>
        <w:tc>
          <w:tcPr>
            <w:tcW w:w="1002" w:type="dxa"/>
            <w:vMerge w:val="continue"/>
            <w:vAlign w:val="center"/>
          </w:tcPr>
          <w:p w14:paraId="4D988752">
            <w:pPr>
              <w:spacing w:line="360" w:lineRule="auto"/>
              <w:jc w:val="center"/>
              <w:rPr>
                <w:rFonts w:ascii="宋体" w:hAnsi="宋体" w:cs="宋体"/>
                <w:szCs w:val="21"/>
              </w:rPr>
            </w:pPr>
          </w:p>
        </w:tc>
        <w:tc>
          <w:tcPr>
            <w:tcW w:w="1821" w:type="dxa"/>
            <w:vAlign w:val="center"/>
          </w:tcPr>
          <w:p w14:paraId="4F31D38E">
            <w:pPr>
              <w:spacing w:line="360" w:lineRule="auto"/>
              <w:jc w:val="center"/>
              <w:rPr>
                <w:rFonts w:ascii="宋体" w:hAnsi="宋体" w:cs="宋体"/>
                <w:szCs w:val="21"/>
              </w:rPr>
            </w:pPr>
            <w:r>
              <w:rPr>
                <w:rFonts w:hint="eastAsia" w:ascii="宋体" w:hAnsi="宋体" w:cs="宋体"/>
                <w:szCs w:val="21"/>
              </w:rPr>
              <w:t>采购申请函</w:t>
            </w:r>
          </w:p>
        </w:tc>
        <w:tc>
          <w:tcPr>
            <w:tcW w:w="5940" w:type="dxa"/>
            <w:vAlign w:val="center"/>
          </w:tcPr>
          <w:p w14:paraId="5994E6AB">
            <w:pPr>
              <w:spacing w:line="360" w:lineRule="auto"/>
              <w:jc w:val="left"/>
              <w:rPr>
                <w:rFonts w:ascii="宋体" w:hAnsi="宋体" w:cs="宋体"/>
                <w:szCs w:val="21"/>
              </w:rPr>
            </w:pPr>
            <w:bookmarkStart w:id="495" w:name="OLE_LINK227"/>
            <w:r>
              <w:rPr>
                <w:rFonts w:hint="eastAsia" w:ascii="宋体" w:hAnsi="宋体" w:cs="宋体"/>
                <w:szCs w:val="21"/>
              </w:rPr>
              <w:t>按</w:t>
            </w:r>
            <w:bookmarkStart w:id="496" w:name="OLE_LINK106"/>
            <w:r>
              <w:rPr>
                <w:rFonts w:hint="eastAsia" w:ascii="宋体" w:hAnsi="宋体" w:cs="宋体"/>
                <w:szCs w:val="21"/>
              </w:rPr>
              <w:t>单一来源采购文件</w:t>
            </w:r>
            <w:bookmarkEnd w:id="496"/>
            <w:r>
              <w:rPr>
                <w:rFonts w:hint="eastAsia" w:ascii="宋体" w:hAnsi="宋体" w:cs="宋体"/>
                <w:szCs w:val="21"/>
              </w:rPr>
              <w:t>要求填写，内容齐全、关键字迹清晰（可辨）；</w:t>
            </w:r>
            <w:bookmarkEnd w:id="495"/>
          </w:p>
        </w:tc>
      </w:tr>
      <w:tr w14:paraId="673E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6" w:type="dxa"/>
            <w:vMerge w:val="continue"/>
            <w:vAlign w:val="center"/>
          </w:tcPr>
          <w:p w14:paraId="0F67CF06">
            <w:pPr>
              <w:spacing w:line="360" w:lineRule="auto"/>
              <w:jc w:val="center"/>
              <w:rPr>
                <w:rFonts w:ascii="宋体" w:hAnsi="宋体" w:cs="宋体"/>
                <w:szCs w:val="21"/>
              </w:rPr>
            </w:pPr>
          </w:p>
        </w:tc>
        <w:tc>
          <w:tcPr>
            <w:tcW w:w="1002" w:type="dxa"/>
            <w:vMerge w:val="continue"/>
            <w:vAlign w:val="center"/>
          </w:tcPr>
          <w:p w14:paraId="510253FC">
            <w:pPr>
              <w:spacing w:line="360" w:lineRule="auto"/>
              <w:jc w:val="center"/>
              <w:rPr>
                <w:rFonts w:ascii="宋体" w:hAnsi="宋体" w:cs="宋体"/>
                <w:szCs w:val="21"/>
              </w:rPr>
            </w:pPr>
          </w:p>
        </w:tc>
        <w:tc>
          <w:tcPr>
            <w:tcW w:w="1821" w:type="dxa"/>
            <w:vAlign w:val="center"/>
          </w:tcPr>
          <w:p w14:paraId="46C3208F">
            <w:pPr>
              <w:spacing w:line="360" w:lineRule="auto"/>
              <w:jc w:val="center"/>
              <w:rPr>
                <w:rFonts w:ascii="宋体" w:hAnsi="宋体" w:cs="宋体"/>
                <w:szCs w:val="21"/>
              </w:rPr>
            </w:pPr>
            <w:r>
              <w:rPr>
                <w:rFonts w:hint="eastAsia" w:ascii="宋体" w:hAnsi="宋体" w:cs="宋体"/>
                <w:szCs w:val="21"/>
              </w:rPr>
              <w:t>单一来源采购文件中要</w:t>
            </w:r>
            <w:r>
              <w:rPr>
                <w:rFonts w:hint="eastAsia"/>
              </w:rPr>
              <w:t>盖章、</w:t>
            </w:r>
            <w:r>
              <w:rPr>
                <w:rFonts w:hint="eastAsia" w:ascii="宋体" w:hAnsi="宋体" w:cs="宋体"/>
                <w:szCs w:val="21"/>
              </w:rPr>
              <w:t>签名或</w:t>
            </w:r>
            <w:bookmarkStart w:id="497" w:name="OLE_LINK371"/>
            <w:r>
              <w:rPr>
                <w:rFonts w:hint="eastAsia" w:ascii="宋体" w:hAnsi="宋体" w:cs="宋体"/>
                <w:szCs w:val="21"/>
              </w:rPr>
              <w:t>签章</w:t>
            </w:r>
            <w:bookmarkEnd w:id="497"/>
            <w:r>
              <w:rPr>
                <w:rFonts w:hint="eastAsia"/>
              </w:rPr>
              <w:t>的</w:t>
            </w:r>
            <w:r>
              <w:t>地方</w:t>
            </w:r>
          </w:p>
        </w:tc>
        <w:tc>
          <w:tcPr>
            <w:tcW w:w="5940" w:type="dxa"/>
            <w:vAlign w:val="center"/>
          </w:tcPr>
          <w:p w14:paraId="2CBA722B">
            <w:pPr>
              <w:spacing w:line="360" w:lineRule="auto"/>
              <w:jc w:val="left"/>
              <w:rPr>
                <w:rFonts w:ascii="宋体" w:hAnsi="宋体" w:cs="宋体"/>
                <w:szCs w:val="21"/>
              </w:rPr>
            </w:pPr>
            <w:r>
              <w:rPr>
                <w:rFonts w:hint="eastAsia" w:ascii="宋体" w:hAnsi="宋体" w:cs="宋体"/>
                <w:szCs w:val="21"/>
              </w:rPr>
              <w:t>按</w:t>
            </w:r>
            <w:bookmarkStart w:id="498" w:name="OLE_LINK109"/>
            <w:r>
              <w:rPr>
                <w:rFonts w:hint="eastAsia" w:ascii="宋体" w:hAnsi="宋体" w:cs="宋体"/>
                <w:szCs w:val="21"/>
              </w:rPr>
              <w:t>单一来源采购文件</w:t>
            </w:r>
            <w:bookmarkEnd w:id="498"/>
            <w:r>
              <w:rPr>
                <w:rFonts w:hint="eastAsia" w:ascii="宋体" w:hAnsi="宋体" w:cs="宋体"/>
                <w:szCs w:val="21"/>
              </w:rPr>
              <w:t>要求</w:t>
            </w:r>
            <w:r>
              <w:rPr>
                <w:rFonts w:hint="eastAsia"/>
              </w:rPr>
              <w:t>盖章、</w:t>
            </w:r>
            <w:r>
              <w:rPr>
                <w:rFonts w:hint="eastAsia" w:ascii="宋体" w:hAnsi="宋体" w:cs="宋体"/>
                <w:szCs w:val="21"/>
              </w:rPr>
              <w:t>签名或签章；</w:t>
            </w:r>
          </w:p>
        </w:tc>
      </w:tr>
      <w:tr w14:paraId="4D8D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6" w:type="dxa"/>
            <w:vMerge w:val="continue"/>
            <w:vAlign w:val="center"/>
          </w:tcPr>
          <w:p w14:paraId="3E61F0C3">
            <w:pPr>
              <w:spacing w:line="360" w:lineRule="auto"/>
              <w:jc w:val="center"/>
              <w:rPr>
                <w:rFonts w:ascii="宋体" w:hAnsi="宋体" w:cs="宋体"/>
                <w:szCs w:val="21"/>
              </w:rPr>
            </w:pPr>
          </w:p>
        </w:tc>
        <w:tc>
          <w:tcPr>
            <w:tcW w:w="1002" w:type="dxa"/>
            <w:vMerge w:val="continue"/>
            <w:vAlign w:val="center"/>
          </w:tcPr>
          <w:p w14:paraId="7356BEEE">
            <w:pPr>
              <w:spacing w:line="360" w:lineRule="auto"/>
              <w:jc w:val="center"/>
              <w:rPr>
                <w:rFonts w:ascii="宋体" w:hAnsi="宋体" w:cs="宋体"/>
                <w:szCs w:val="21"/>
              </w:rPr>
            </w:pPr>
          </w:p>
        </w:tc>
        <w:tc>
          <w:tcPr>
            <w:tcW w:w="1821" w:type="dxa"/>
            <w:vAlign w:val="center"/>
          </w:tcPr>
          <w:p w14:paraId="3851EDA0">
            <w:pPr>
              <w:spacing w:line="360" w:lineRule="auto"/>
              <w:jc w:val="center"/>
              <w:rPr>
                <w:rFonts w:ascii="宋体" w:hAnsi="宋体" w:cs="宋体"/>
                <w:szCs w:val="21"/>
              </w:rPr>
            </w:pPr>
            <w:bookmarkStart w:id="499" w:name="OLE_LINK107" w:colFirst="2" w:colLast="3"/>
            <w:r>
              <w:rPr>
                <w:rFonts w:hint="eastAsia" w:ascii="宋体" w:hAnsi="宋体" w:cs="宋体"/>
                <w:szCs w:val="21"/>
              </w:rPr>
              <w:t>报价</w:t>
            </w:r>
          </w:p>
        </w:tc>
        <w:tc>
          <w:tcPr>
            <w:tcW w:w="5940" w:type="dxa"/>
            <w:vAlign w:val="center"/>
          </w:tcPr>
          <w:p w14:paraId="0E11A523">
            <w:pPr>
              <w:spacing w:line="360" w:lineRule="auto"/>
              <w:jc w:val="left"/>
              <w:rPr>
                <w:rFonts w:ascii="宋体" w:hAnsi="宋体" w:cs="宋体"/>
                <w:szCs w:val="21"/>
              </w:rPr>
            </w:pPr>
            <w:r>
              <w:rPr>
                <w:rFonts w:hint="eastAsia" w:ascii="宋体" w:hAnsi="宋体" w:cs="宋体"/>
                <w:szCs w:val="21"/>
              </w:rPr>
              <w:t>最后报价未超过预算金额或最高限价；</w:t>
            </w:r>
          </w:p>
        </w:tc>
      </w:tr>
      <w:tr w14:paraId="7A2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66" w:type="dxa"/>
            <w:vMerge w:val="continue"/>
            <w:vAlign w:val="center"/>
          </w:tcPr>
          <w:p w14:paraId="045749CB">
            <w:pPr>
              <w:spacing w:line="360" w:lineRule="auto"/>
              <w:jc w:val="center"/>
              <w:rPr>
                <w:rFonts w:ascii="宋体" w:hAnsi="宋体" w:cs="宋体"/>
                <w:szCs w:val="21"/>
              </w:rPr>
            </w:pPr>
          </w:p>
        </w:tc>
        <w:tc>
          <w:tcPr>
            <w:tcW w:w="1002" w:type="dxa"/>
            <w:vMerge w:val="continue"/>
            <w:vAlign w:val="center"/>
          </w:tcPr>
          <w:p w14:paraId="092EEB6A">
            <w:pPr>
              <w:spacing w:line="360" w:lineRule="auto"/>
              <w:jc w:val="center"/>
              <w:rPr>
                <w:rFonts w:ascii="宋体" w:hAnsi="宋体" w:cs="宋体"/>
                <w:szCs w:val="21"/>
              </w:rPr>
            </w:pPr>
          </w:p>
        </w:tc>
        <w:tc>
          <w:tcPr>
            <w:tcW w:w="1821" w:type="dxa"/>
            <w:vAlign w:val="center"/>
          </w:tcPr>
          <w:p w14:paraId="35948B38">
            <w:pPr>
              <w:spacing w:line="360" w:lineRule="auto"/>
              <w:jc w:val="center"/>
              <w:rPr>
                <w:rFonts w:ascii="宋体" w:hAnsi="宋体" w:cs="宋体"/>
                <w:szCs w:val="21"/>
              </w:rPr>
            </w:pPr>
            <w:r>
              <w:rPr>
                <w:rFonts w:hint="eastAsia" w:ascii="宋体" w:hAnsi="宋体" w:cs="宋体"/>
                <w:szCs w:val="21"/>
              </w:rPr>
              <w:t>其它实质性条件</w:t>
            </w:r>
          </w:p>
        </w:tc>
        <w:tc>
          <w:tcPr>
            <w:tcW w:w="5940" w:type="dxa"/>
            <w:vAlign w:val="center"/>
          </w:tcPr>
          <w:p w14:paraId="59CB29DA">
            <w:pPr>
              <w:spacing w:line="360" w:lineRule="auto"/>
              <w:rPr>
                <w:rFonts w:ascii="宋体" w:hAnsi="宋体" w:cs="宋体"/>
                <w:szCs w:val="21"/>
              </w:rPr>
            </w:pPr>
            <w:r>
              <w:rPr>
                <w:rFonts w:hint="eastAsia" w:ascii="宋体" w:hAnsi="宋体" w:cs="宋体"/>
                <w:szCs w:val="21"/>
              </w:rPr>
              <w:t>1）</w:t>
            </w:r>
            <w:r>
              <w:rPr>
                <w:rFonts w:hint="eastAsia" w:ascii="等线" w:hAnsi="等线"/>
              </w:rPr>
              <w:t>单一来源采购文件中</w:t>
            </w:r>
            <w:r>
              <w:rPr>
                <w:rFonts w:hint="eastAsia"/>
              </w:rPr>
              <w:t>响应文件格式部分标注</w:t>
            </w:r>
            <w:r>
              <w:rPr>
                <w:rFonts w:hint="eastAsia" w:ascii="宋体" w:hAnsi="宋体" w:cs="宋体"/>
                <w:szCs w:val="21"/>
              </w:rPr>
              <w:t>★</w:t>
            </w:r>
            <w:r>
              <w:rPr>
                <w:rFonts w:hint="eastAsia"/>
              </w:rPr>
              <w:t>号的，供应商必须</w:t>
            </w:r>
            <w:r>
              <w:t>按</w:t>
            </w:r>
            <w:r>
              <w:rPr>
                <w:rFonts w:hint="eastAsia" w:ascii="等线" w:hAnsi="等线"/>
              </w:rPr>
              <w:t>单一来源采购文件</w:t>
            </w:r>
            <w:r>
              <w:t>要求填写，</w:t>
            </w:r>
            <w:r>
              <w:rPr>
                <w:rFonts w:hint="eastAsia" w:ascii="等线" w:hAnsi="等线"/>
              </w:rPr>
              <w:t>否则其响应文件按无效响应处理</w:t>
            </w:r>
            <w:r>
              <w:rPr>
                <w:rFonts w:hint="eastAsia" w:ascii="宋体" w:hAnsi="宋体" w:cs="宋体"/>
                <w:szCs w:val="21"/>
              </w:rPr>
              <w:t>；</w:t>
            </w:r>
          </w:p>
          <w:p w14:paraId="6C525FDE">
            <w:pPr>
              <w:spacing w:line="360" w:lineRule="auto"/>
              <w:jc w:val="left"/>
            </w:pPr>
            <w:r>
              <w:rPr>
                <w:rFonts w:hint="eastAsia"/>
              </w:rPr>
              <w:t>2）实质性响应单一来源采购文件中标注★的条款。</w:t>
            </w:r>
          </w:p>
          <w:p w14:paraId="738C02B6">
            <w:pPr>
              <w:spacing w:line="360" w:lineRule="auto"/>
              <w:jc w:val="left"/>
              <w:rPr>
                <w:rFonts w:ascii="宋体" w:hAnsi="宋体" w:cs="宋体"/>
                <w:szCs w:val="21"/>
              </w:rPr>
            </w:pPr>
            <w:r>
              <w:rPr>
                <w:rFonts w:hint="eastAsia" w:ascii="宋体" w:hAnsi="宋体" w:cs="宋体"/>
                <w:szCs w:val="21"/>
              </w:rPr>
              <w:t>3）法律、法规和单一来源采购文件明确规定的其他响应无效情形。</w:t>
            </w:r>
          </w:p>
          <w:bookmarkEnd w:id="493"/>
          <w:bookmarkEnd w:id="499"/>
        </w:tc>
      </w:tr>
      <w:tr w14:paraId="57DA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766" w:type="dxa"/>
            <w:vAlign w:val="center"/>
          </w:tcPr>
          <w:p w14:paraId="1527EB87">
            <w:pPr>
              <w:spacing w:line="360" w:lineRule="auto"/>
              <w:jc w:val="center"/>
              <w:rPr>
                <w:rFonts w:ascii="宋体" w:hAnsi="宋体" w:cs="宋体"/>
                <w:szCs w:val="21"/>
              </w:rPr>
            </w:pPr>
            <w:r>
              <w:rPr>
                <w:rFonts w:hint="eastAsia" w:ascii="宋体" w:hAnsi="宋体" w:cs="宋体"/>
                <w:szCs w:val="21"/>
              </w:rPr>
              <w:t>2.2</w:t>
            </w:r>
          </w:p>
        </w:tc>
        <w:tc>
          <w:tcPr>
            <w:tcW w:w="1002" w:type="dxa"/>
            <w:vAlign w:val="center"/>
          </w:tcPr>
          <w:p w14:paraId="3EBB8BCB">
            <w:pPr>
              <w:spacing w:line="360" w:lineRule="auto"/>
              <w:jc w:val="center"/>
              <w:rPr>
                <w:rFonts w:ascii="宋体" w:hAnsi="宋体" w:cs="宋体"/>
                <w:szCs w:val="21"/>
              </w:rPr>
            </w:pPr>
            <w:r>
              <w:rPr>
                <w:rFonts w:hint="eastAsia" w:ascii="宋体" w:hAnsi="宋体" w:cs="宋体"/>
                <w:szCs w:val="21"/>
              </w:rPr>
              <w:t>协商</w:t>
            </w:r>
          </w:p>
        </w:tc>
        <w:tc>
          <w:tcPr>
            <w:tcW w:w="7761" w:type="dxa"/>
            <w:gridSpan w:val="2"/>
            <w:vAlign w:val="center"/>
          </w:tcPr>
          <w:p w14:paraId="1F69F755">
            <w:pPr>
              <w:spacing w:line="360" w:lineRule="auto"/>
              <w:rPr>
                <w:rFonts w:ascii="宋体" w:hAnsi="宋体" w:cs="宋体"/>
                <w:szCs w:val="21"/>
              </w:rPr>
            </w:pPr>
            <w:r>
              <w:rPr>
                <w:rFonts w:hint="eastAsia" w:ascii="宋体" w:hAnsi="宋体" w:cs="宋体"/>
                <w:szCs w:val="21"/>
              </w:rPr>
              <w:t>采购人员与供应商就合同主要条款及价格进行协商，在保证采购质量前提和项目预算范围内，确定合同主要条款及合理的成交价格。</w:t>
            </w:r>
          </w:p>
        </w:tc>
      </w:tr>
    </w:tbl>
    <w:p w14:paraId="75F08B66">
      <w:pPr>
        <w:rPr>
          <w:rFonts w:ascii="黑体" w:hAnsi="黑体" w:eastAsia="黑体" w:cs="黑体"/>
          <w:b/>
          <w:bCs/>
          <w:sz w:val="24"/>
        </w:rPr>
      </w:pPr>
      <w:bookmarkStart w:id="500" w:name="OLE_LINK310"/>
      <w:bookmarkStart w:id="501" w:name="_Toc14562"/>
      <w:bookmarkStart w:id="502" w:name="_Toc15772"/>
      <w:bookmarkStart w:id="503" w:name="_Toc8474"/>
      <w:bookmarkStart w:id="504" w:name="_Toc86124094"/>
      <w:bookmarkStart w:id="505" w:name="_Toc498050690"/>
      <w:bookmarkStart w:id="506" w:name="OLE_LINK154"/>
      <w:r>
        <w:rPr>
          <w:rFonts w:hint="eastAsia" w:ascii="黑体" w:hAnsi="黑体" w:eastAsia="黑体" w:cs="黑体"/>
          <w:b/>
          <w:bCs/>
          <w:sz w:val="24"/>
        </w:rPr>
        <w:br w:type="page"/>
      </w:r>
    </w:p>
    <w:p w14:paraId="4400314E">
      <w:pPr>
        <w:spacing w:before="156" w:beforeLines="50" w:line="360" w:lineRule="auto"/>
        <w:outlineLvl w:val="1"/>
        <w:rPr>
          <w:rFonts w:hAnsi="宋体"/>
          <w:sz w:val="24"/>
        </w:rPr>
      </w:pPr>
      <w:r>
        <w:rPr>
          <w:rFonts w:hint="eastAsia" w:ascii="黑体" w:hAnsi="黑体" w:eastAsia="黑体" w:cs="黑体"/>
          <w:b/>
          <w:bCs/>
          <w:sz w:val="24"/>
        </w:rPr>
        <w:t>一、评审方法</w:t>
      </w:r>
      <w:bookmarkEnd w:id="500"/>
      <w:bookmarkEnd w:id="501"/>
    </w:p>
    <w:bookmarkEnd w:id="502"/>
    <w:bookmarkEnd w:id="503"/>
    <w:bookmarkEnd w:id="504"/>
    <w:bookmarkEnd w:id="505"/>
    <w:bookmarkEnd w:id="506"/>
    <w:p w14:paraId="2E96D30E">
      <w:pPr>
        <w:spacing w:line="480" w:lineRule="exact"/>
        <w:ind w:firstLine="420" w:firstLineChars="200"/>
        <w:jc w:val="left"/>
        <w:rPr>
          <w:szCs w:val="21"/>
        </w:rPr>
      </w:pPr>
      <w:r>
        <w:rPr>
          <w:rFonts w:hint="eastAsia" w:ascii="宋体" w:hAnsi="宋体" w:cs="宋体"/>
          <w:szCs w:val="21"/>
        </w:rPr>
        <w:t>根据《中华人民共和国政府采购法》、《中华人民共和国政府采购法实施条例》、关于印发《政府采购非招标采购方式管理办法》</w:t>
      </w:r>
      <w:r>
        <w:rPr>
          <w:rFonts w:hint="eastAsia" w:hAnsi="宋体" w:cs="宋体"/>
          <w:szCs w:val="21"/>
        </w:rPr>
        <w:t>、</w:t>
      </w:r>
      <w:r>
        <w:rPr>
          <w:rFonts w:hint="eastAsia" w:ascii="宋体" w:hAnsi="宋体" w:cs="宋体"/>
          <w:szCs w:val="21"/>
        </w:rPr>
        <w:t>《财政部关于进一步规范政府采购评审工作有关问题的通知》（ 财政部财库[2012]69号）等有关法律规定，结合本项目采购实际情况制定本办法</w:t>
      </w:r>
      <w:r>
        <w:rPr>
          <w:rFonts w:hint="eastAsia" w:ascii="宋体" w:hAnsi="宋体"/>
          <w:szCs w:val="21"/>
        </w:rPr>
        <w:t>。</w:t>
      </w:r>
    </w:p>
    <w:p w14:paraId="7FD42DA3">
      <w:pPr>
        <w:pStyle w:val="4"/>
        <w:spacing w:before="0" w:after="0" w:line="480" w:lineRule="exact"/>
        <w:jc w:val="both"/>
        <w:rPr>
          <w:rFonts w:ascii="Times New Roman" w:hAnsi="宋体"/>
          <w:sz w:val="24"/>
          <w:szCs w:val="24"/>
        </w:rPr>
      </w:pPr>
      <w:bookmarkStart w:id="507" w:name="_Toc347849270"/>
      <w:bookmarkStart w:id="508" w:name="_Toc438157954"/>
      <w:bookmarkStart w:id="509" w:name="_Toc492340367"/>
      <w:bookmarkStart w:id="510" w:name="_Toc86124095"/>
      <w:bookmarkStart w:id="511" w:name="_Toc464475985"/>
      <w:bookmarkStart w:id="512" w:name="_Toc496805443"/>
      <w:bookmarkStart w:id="513" w:name="_Toc481316974"/>
      <w:bookmarkStart w:id="514" w:name="_Toc22853"/>
      <w:bookmarkStart w:id="515" w:name="_Toc191374451"/>
      <w:bookmarkStart w:id="516" w:name="_Toc86124098"/>
      <w:bookmarkStart w:id="517" w:name="_Toc498050691"/>
      <w:bookmarkStart w:id="518" w:name="_Toc8107"/>
      <w:r>
        <w:rPr>
          <w:rFonts w:hint="eastAsia" w:ascii="黑体" w:hAnsi="黑体" w:eastAsia="黑体" w:cs="黑体"/>
          <w:sz w:val="24"/>
          <w:szCs w:val="24"/>
        </w:rPr>
        <w:t>二</w:t>
      </w:r>
      <w:bookmarkStart w:id="519" w:name="OLE_LINK124"/>
      <w:r>
        <w:rPr>
          <w:rFonts w:hint="eastAsia" w:ascii="黑体" w:hAnsi="黑体" w:eastAsia="黑体" w:cs="黑体"/>
          <w:sz w:val="24"/>
          <w:szCs w:val="24"/>
        </w:rPr>
        <w:t>、</w:t>
      </w:r>
      <w:bookmarkEnd w:id="507"/>
      <w:bookmarkEnd w:id="508"/>
      <w:bookmarkEnd w:id="509"/>
      <w:bookmarkEnd w:id="510"/>
      <w:bookmarkEnd w:id="511"/>
      <w:bookmarkEnd w:id="512"/>
      <w:bookmarkEnd w:id="513"/>
      <w:r>
        <w:rPr>
          <w:rFonts w:hint="eastAsia" w:ascii="黑体" w:hAnsi="黑体" w:eastAsia="黑体" w:cs="黑体"/>
          <w:sz w:val="24"/>
          <w:szCs w:val="24"/>
        </w:rPr>
        <w:t>协商标准</w:t>
      </w:r>
      <w:bookmarkEnd w:id="519"/>
    </w:p>
    <w:bookmarkEnd w:id="514"/>
    <w:bookmarkEnd w:id="515"/>
    <w:bookmarkEnd w:id="516"/>
    <w:bookmarkEnd w:id="517"/>
    <w:bookmarkEnd w:id="518"/>
    <w:p w14:paraId="101F3123">
      <w:pPr>
        <w:pStyle w:val="5"/>
        <w:tabs>
          <w:tab w:val="left" w:pos="900"/>
        </w:tabs>
        <w:spacing w:before="0" w:after="0"/>
        <w:ind w:firstLine="482"/>
        <w:jc w:val="left"/>
        <w:rPr>
          <w:rFonts w:ascii="黑体" w:hAnsi="黑体" w:eastAsia="黑体" w:cs="黑体"/>
          <w:szCs w:val="24"/>
        </w:rPr>
      </w:pPr>
      <w:bookmarkStart w:id="520" w:name="_Toc329810237"/>
      <w:bookmarkStart w:id="521" w:name="_Toc438157955"/>
      <w:bookmarkStart w:id="522" w:name="_Toc191374449"/>
      <w:bookmarkStart w:id="523" w:name="_Toc48271429"/>
      <w:bookmarkStart w:id="524" w:name="_Toc347849271"/>
      <w:bookmarkStart w:id="525" w:name="_Toc492340368"/>
      <w:bookmarkStart w:id="526" w:name="_Toc464475986"/>
      <w:bookmarkStart w:id="527" w:name="_Toc14548"/>
      <w:bookmarkStart w:id="528" w:name="_Toc481316975"/>
      <w:bookmarkStart w:id="529" w:name="_Toc496805444"/>
      <w:bookmarkStart w:id="530" w:name="_Toc86124096"/>
      <w:r>
        <w:rPr>
          <w:rFonts w:hint="eastAsia" w:ascii="黑体" w:hAnsi="黑体" w:eastAsia="黑体" w:cs="黑体"/>
          <w:szCs w:val="24"/>
        </w:rPr>
        <w:t>1.资格审查</w:t>
      </w:r>
    </w:p>
    <w:p w14:paraId="2412FDA1">
      <w:pPr>
        <w:spacing w:line="360" w:lineRule="auto"/>
        <w:ind w:firstLine="420" w:firstLineChars="200"/>
        <w:jc w:val="left"/>
        <w:rPr>
          <w:rFonts w:ascii="宋体" w:hAnsi="宋体" w:cs="宋体"/>
          <w:szCs w:val="21"/>
        </w:rPr>
      </w:pPr>
      <w:bookmarkStart w:id="531" w:name="OLE_LINK146"/>
      <w:r>
        <w:rPr>
          <w:rFonts w:hint="eastAsia" w:ascii="宋体" w:hAnsi="宋体" w:cs="宋体"/>
          <w:szCs w:val="21"/>
        </w:rPr>
        <w:t>单一来源采购人员</w:t>
      </w:r>
      <w:r>
        <w:rPr>
          <w:rFonts w:ascii="宋体" w:hAnsi="宋体" w:cs="宋体"/>
          <w:szCs w:val="21"/>
        </w:rPr>
        <w:t>依据</w:t>
      </w:r>
      <w:r>
        <w:rPr>
          <w:rFonts w:hint="eastAsia" w:ascii="宋体" w:hAnsi="宋体" w:cs="宋体"/>
          <w:szCs w:val="21"/>
        </w:rPr>
        <w:t>单一来源采购文件</w:t>
      </w:r>
      <w:r>
        <w:rPr>
          <w:rFonts w:hAnsi="宋体"/>
          <w:szCs w:val="21"/>
        </w:rPr>
        <w:t>第六章《评审方法》2.</w:t>
      </w:r>
      <w:r>
        <w:rPr>
          <w:rFonts w:hint="eastAsia" w:hAnsi="宋体"/>
          <w:szCs w:val="21"/>
        </w:rPr>
        <w:t>1资格审查标准</w:t>
      </w:r>
      <w:r>
        <w:rPr>
          <w:rFonts w:hAnsi="宋体"/>
          <w:szCs w:val="21"/>
        </w:rPr>
        <w:t>规定的内容</w:t>
      </w:r>
      <w:r>
        <w:rPr>
          <w:rFonts w:ascii="宋体" w:hAnsi="宋体" w:cs="宋体"/>
          <w:szCs w:val="21"/>
        </w:rPr>
        <w:t>，</w:t>
      </w:r>
      <w:r>
        <w:rPr>
          <w:rFonts w:hAnsi="宋体"/>
          <w:szCs w:val="21"/>
        </w:rPr>
        <w:t>对供应商响应文件中</w:t>
      </w:r>
      <w:r>
        <w:rPr>
          <w:rFonts w:hint="eastAsia" w:hAnsi="宋体"/>
          <w:szCs w:val="21"/>
        </w:rPr>
        <w:t>提供的资料</w:t>
      </w:r>
      <w:r>
        <w:rPr>
          <w:rFonts w:hAnsi="宋体"/>
          <w:szCs w:val="21"/>
        </w:rPr>
        <w:t>进行审查，</w:t>
      </w:r>
      <w:r>
        <w:rPr>
          <w:rFonts w:hint="eastAsia" w:hAnsi="宋体"/>
          <w:szCs w:val="21"/>
        </w:rPr>
        <w:t>未通过</w:t>
      </w:r>
      <w:r>
        <w:rPr>
          <w:rFonts w:hint="eastAsia" w:ascii="宋体" w:hAnsi="宋体" w:cs="宋体"/>
          <w:szCs w:val="21"/>
        </w:rPr>
        <w:t>单一来源采购文件</w:t>
      </w:r>
      <w:r>
        <w:rPr>
          <w:rFonts w:hint="eastAsia" w:hAnsi="宋体"/>
          <w:szCs w:val="21"/>
        </w:rPr>
        <w:t>资格审查标准</w:t>
      </w:r>
      <w:r>
        <w:rPr>
          <w:rFonts w:hAnsi="宋体"/>
          <w:szCs w:val="21"/>
        </w:rPr>
        <w:t>的响应文件按无效响应处理</w:t>
      </w:r>
      <w:r>
        <w:rPr>
          <w:rFonts w:hint="eastAsia" w:ascii="宋体" w:hAnsi="宋体" w:cs="宋体"/>
          <w:szCs w:val="21"/>
        </w:rPr>
        <w:t>。</w:t>
      </w:r>
      <w:bookmarkEnd w:id="531"/>
    </w:p>
    <w:p w14:paraId="5E061565">
      <w:pPr>
        <w:pStyle w:val="5"/>
        <w:tabs>
          <w:tab w:val="left" w:pos="900"/>
        </w:tabs>
        <w:spacing w:before="0" w:after="0"/>
        <w:ind w:firstLine="482"/>
        <w:jc w:val="left"/>
        <w:rPr>
          <w:rFonts w:ascii="黑体" w:hAnsi="黑体" w:eastAsia="黑体" w:cs="黑体"/>
          <w:szCs w:val="24"/>
        </w:rPr>
      </w:pPr>
      <w:r>
        <w:rPr>
          <w:rFonts w:hint="eastAsia" w:ascii="黑体" w:hAnsi="黑体" w:eastAsia="黑体" w:cs="黑体"/>
          <w:szCs w:val="24"/>
        </w:rPr>
        <w:t>2</w:t>
      </w:r>
      <w:bookmarkStart w:id="532" w:name="OLE_LINK147"/>
      <w:r>
        <w:rPr>
          <w:rFonts w:hint="eastAsia" w:ascii="黑体" w:hAnsi="黑体" w:eastAsia="黑体" w:cs="黑体"/>
          <w:szCs w:val="24"/>
        </w:rPr>
        <w:t>.符合性</w:t>
      </w:r>
      <w:bookmarkStart w:id="533" w:name="OLE_LINK119"/>
      <w:r>
        <w:rPr>
          <w:rFonts w:hint="eastAsia" w:ascii="黑体" w:hAnsi="黑体" w:eastAsia="黑体" w:cs="黑体"/>
          <w:szCs w:val="24"/>
        </w:rPr>
        <w:t>要求审查</w:t>
      </w:r>
      <w:bookmarkEnd w:id="520"/>
      <w:bookmarkEnd w:id="521"/>
      <w:bookmarkEnd w:id="522"/>
      <w:bookmarkEnd w:id="523"/>
      <w:bookmarkEnd w:id="524"/>
      <w:bookmarkEnd w:id="525"/>
      <w:bookmarkEnd w:id="526"/>
      <w:bookmarkEnd w:id="527"/>
      <w:bookmarkEnd w:id="528"/>
      <w:bookmarkEnd w:id="529"/>
      <w:bookmarkEnd w:id="530"/>
      <w:bookmarkEnd w:id="532"/>
      <w:bookmarkEnd w:id="533"/>
    </w:p>
    <w:p w14:paraId="0E34404D">
      <w:pPr>
        <w:spacing w:line="360" w:lineRule="auto"/>
        <w:ind w:firstLine="420" w:firstLineChars="200"/>
        <w:jc w:val="left"/>
        <w:rPr>
          <w:rFonts w:ascii="宋体" w:hAnsi="宋体" w:cs="宋体"/>
          <w:szCs w:val="21"/>
        </w:rPr>
      </w:pPr>
      <w:r>
        <w:rPr>
          <w:rFonts w:hint="eastAsia" w:ascii="宋体" w:hAnsi="宋体" w:cs="宋体"/>
          <w:szCs w:val="21"/>
        </w:rPr>
        <w:t>单一来源采购人员</w:t>
      </w:r>
      <w:r>
        <w:rPr>
          <w:rFonts w:ascii="宋体" w:hAnsi="宋体" w:cs="宋体"/>
          <w:szCs w:val="21"/>
        </w:rPr>
        <w:t>依据</w:t>
      </w:r>
      <w:r>
        <w:rPr>
          <w:rFonts w:hint="eastAsia" w:ascii="宋体" w:hAnsi="宋体" w:cs="宋体"/>
          <w:szCs w:val="21"/>
        </w:rPr>
        <w:t>单一来源采购文件</w:t>
      </w:r>
      <w:r>
        <w:rPr>
          <w:rFonts w:hAnsi="宋体"/>
          <w:szCs w:val="21"/>
        </w:rPr>
        <w:t>第六章《评审方法》2.</w:t>
      </w:r>
      <w:r>
        <w:rPr>
          <w:rFonts w:hint="eastAsia" w:hAnsi="宋体"/>
          <w:szCs w:val="21"/>
        </w:rPr>
        <w:t>2符合性评审标准</w:t>
      </w:r>
      <w:r>
        <w:rPr>
          <w:rFonts w:hAnsi="宋体"/>
          <w:szCs w:val="21"/>
        </w:rPr>
        <w:t>规定的内容</w:t>
      </w:r>
      <w:r>
        <w:rPr>
          <w:rFonts w:ascii="宋体" w:hAnsi="宋体" w:cs="宋体"/>
          <w:szCs w:val="21"/>
        </w:rPr>
        <w:t>，</w:t>
      </w:r>
      <w:r>
        <w:rPr>
          <w:rFonts w:hAnsi="宋体"/>
          <w:szCs w:val="21"/>
        </w:rPr>
        <w:t>对供应商响应文件中</w:t>
      </w:r>
      <w:r>
        <w:rPr>
          <w:rFonts w:hint="eastAsia" w:hAnsi="宋体"/>
          <w:szCs w:val="21"/>
        </w:rPr>
        <w:t>提供的资料</w:t>
      </w:r>
      <w:r>
        <w:rPr>
          <w:rFonts w:hAnsi="宋体"/>
          <w:szCs w:val="21"/>
        </w:rPr>
        <w:t>进行审查，</w:t>
      </w:r>
      <w:r>
        <w:rPr>
          <w:rFonts w:hint="eastAsia" w:hAnsi="宋体"/>
          <w:szCs w:val="21"/>
        </w:rPr>
        <w:t>未实质性响应单一来源采购文件的响应文件按无效响应处理</w:t>
      </w:r>
      <w:r>
        <w:rPr>
          <w:rFonts w:hint="eastAsia" w:ascii="宋体" w:hAnsi="宋体" w:cs="宋体"/>
          <w:bCs/>
          <w:szCs w:val="21"/>
        </w:rPr>
        <w:t>。</w:t>
      </w:r>
    </w:p>
    <w:p w14:paraId="4496CCF0">
      <w:pPr>
        <w:pStyle w:val="5"/>
        <w:spacing w:before="0" w:after="0"/>
        <w:ind w:firstLine="482"/>
        <w:jc w:val="both"/>
        <w:rPr>
          <w:rFonts w:ascii="黑体" w:hAnsi="黑体" w:eastAsia="黑体" w:cs="黑体"/>
          <w:szCs w:val="24"/>
        </w:rPr>
      </w:pPr>
      <w:bookmarkStart w:id="534" w:name="OLE_LINK120"/>
      <w:bookmarkStart w:id="535" w:name="_Toc86124101"/>
      <w:bookmarkStart w:id="536" w:name="_Toc191374454"/>
      <w:r>
        <w:rPr>
          <w:rFonts w:hint="eastAsia" w:ascii="黑体" w:hAnsi="黑体" w:eastAsia="黑体" w:cs="黑体"/>
          <w:szCs w:val="24"/>
        </w:rPr>
        <w:t>3.协商</w:t>
      </w:r>
    </w:p>
    <w:bookmarkEnd w:id="534"/>
    <w:p w14:paraId="688DCDCF">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.1单一来源采购人员所有成员应当集中与供应商进行协商。</w:t>
      </w:r>
    </w:p>
    <w:p w14:paraId="65969178">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.2在协商过程中，单一来源采购人员可以根据协商情况变动采购文件的内容。</w:t>
      </w:r>
    </w:p>
    <w:p w14:paraId="2C656A3C">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.3采购人员与供应商就合同主要条款及价格进行协商，在保证采购质量前提和项目预算范围内，确定合同主要条款及合理的成交价格。</w:t>
      </w:r>
    </w:p>
    <w:p w14:paraId="28FB1EF4">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.4对采购文件作出的变动是采购文件的有效组成部分，单一来源采购人员应当及时以书面形式通知供应商。</w:t>
      </w:r>
    </w:p>
    <w:p w14:paraId="5076065F">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5供应商应当按照采购文件的变动情况和单一来源采购人员的要求重新提交响应文件，并由其法定代表人或授权代表签字或者加盖公章。由授权代表签字的，应当附法定代表人授权书。供应商为自然人的，应当由本人签字并附身份证明。</w:t>
      </w:r>
    </w:p>
    <w:p w14:paraId="1DDF8773">
      <w:pPr>
        <w:topLinePunct/>
        <w:autoSpaceDE w:val="0"/>
        <w:autoSpaceDN w:val="0"/>
        <w:adjustRightInd w:val="0"/>
        <w:snapToGrid w:val="0"/>
        <w:spacing w:line="360" w:lineRule="auto"/>
        <w:ind w:firstLine="420" w:firstLineChars="200"/>
        <w:rPr>
          <w:szCs w:val="21"/>
        </w:rPr>
      </w:pPr>
      <w:r>
        <w:rPr>
          <w:rFonts w:hint="eastAsia"/>
          <w:szCs w:val="21"/>
        </w:rPr>
        <w:t>3</w:t>
      </w:r>
      <w:r>
        <w:rPr>
          <w:szCs w:val="21"/>
        </w:rPr>
        <w:t>.6协商后，供应商应</w:t>
      </w:r>
      <w:bookmarkStart w:id="537" w:name="OLE_LINK126"/>
      <w:r>
        <w:rPr>
          <w:szCs w:val="21"/>
        </w:rPr>
        <w:t>再次提交报价。若单一来源采购人员认为供应商的报价不合理的，可多次与供应商进行价格协商，直至单一来源采</w:t>
      </w:r>
      <w:bookmarkEnd w:id="537"/>
      <w:r>
        <w:rPr>
          <w:szCs w:val="21"/>
        </w:rPr>
        <w:t>购人员认为供应商的报价合理且能保证采购项目质量。</w:t>
      </w:r>
    </w:p>
    <w:p w14:paraId="0370F9BB">
      <w:pPr>
        <w:pStyle w:val="5"/>
        <w:spacing w:before="0" w:after="0"/>
        <w:ind w:firstLine="482"/>
        <w:jc w:val="both"/>
        <w:rPr>
          <w:rFonts w:ascii="黑体" w:hAnsi="黑体" w:eastAsia="黑体" w:cs="黑体"/>
          <w:szCs w:val="24"/>
        </w:rPr>
      </w:pPr>
      <w:bookmarkStart w:id="538" w:name="_Toc18931"/>
      <w:bookmarkStart w:id="539" w:name="_Toc498050694"/>
      <w:bookmarkStart w:id="540" w:name="_Toc327534016"/>
      <w:bookmarkStart w:id="541" w:name="_Toc490305744"/>
      <w:bookmarkStart w:id="542" w:name="_Toc32052"/>
      <w:bookmarkStart w:id="543" w:name="OLE_LINK121"/>
      <w:r>
        <w:rPr>
          <w:rFonts w:hint="eastAsia" w:ascii="黑体" w:hAnsi="黑体" w:eastAsia="黑体" w:cs="黑体"/>
          <w:szCs w:val="24"/>
        </w:rPr>
        <w:t>4.采购结果</w:t>
      </w:r>
      <w:bookmarkEnd w:id="538"/>
      <w:bookmarkEnd w:id="539"/>
      <w:bookmarkEnd w:id="540"/>
      <w:bookmarkEnd w:id="541"/>
      <w:bookmarkEnd w:id="542"/>
    </w:p>
    <w:bookmarkEnd w:id="535"/>
    <w:bookmarkEnd w:id="536"/>
    <w:bookmarkEnd w:id="543"/>
    <w:p w14:paraId="4C894E9A">
      <w:pPr>
        <w:topLinePunct/>
        <w:autoSpaceDE w:val="0"/>
        <w:autoSpaceDN w:val="0"/>
        <w:adjustRightInd w:val="0"/>
        <w:snapToGrid w:val="0"/>
        <w:spacing w:line="360" w:lineRule="auto"/>
        <w:ind w:firstLine="420" w:firstLineChars="200"/>
        <w:rPr>
          <w:szCs w:val="21"/>
        </w:rPr>
      </w:pPr>
      <w:bookmarkStart w:id="544" w:name="OLE_LINK111"/>
      <w:bookmarkStart w:id="545" w:name="OLE_LINK125"/>
      <w:r>
        <w:rPr>
          <w:rFonts w:hint="eastAsia"/>
          <w:szCs w:val="21"/>
        </w:rPr>
        <w:t>4.1在保证采购项目质量和双方商定合理价格的基础上进行采购，并向采购人提交书面评审报告</w:t>
      </w:r>
      <w:bookmarkEnd w:id="544"/>
      <w:r>
        <w:rPr>
          <w:rFonts w:hint="eastAsia"/>
          <w:szCs w:val="21"/>
        </w:rPr>
        <w:t>。</w:t>
      </w:r>
    </w:p>
    <w:bookmarkEnd w:id="545"/>
    <w:p w14:paraId="6F5345AD">
      <w:pPr>
        <w:spacing w:before="156" w:beforeLines="50" w:line="360" w:lineRule="auto"/>
        <w:outlineLvl w:val="1"/>
        <w:rPr>
          <w:rFonts w:ascii="黑体" w:hAnsi="黑体" w:eastAsia="黑体" w:cs="黑体"/>
          <w:b/>
          <w:bCs/>
          <w:sz w:val="24"/>
        </w:rPr>
      </w:pPr>
      <w:bookmarkStart w:id="546" w:name="_Toc25026"/>
      <w:bookmarkStart w:id="547" w:name="_Toc26783946"/>
      <w:bookmarkStart w:id="548" w:name="_Toc68090071"/>
      <w:bookmarkStart w:id="549" w:name="_Toc78985545"/>
      <w:bookmarkStart w:id="550" w:name="_Toc49935351"/>
      <w:bookmarkStart w:id="551" w:name="OLE_LINK238"/>
      <w:r>
        <w:rPr>
          <w:rFonts w:hint="eastAsia" w:ascii="黑体" w:hAnsi="黑体" w:eastAsia="黑体" w:cs="黑体"/>
          <w:b/>
          <w:bCs/>
          <w:sz w:val="24"/>
        </w:rPr>
        <w:t>三、其它</w:t>
      </w:r>
      <w:bookmarkEnd w:id="546"/>
      <w:bookmarkEnd w:id="547"/>
      <w:bookmarkEnd w:id="548"/>
      <w:bookmarkEnd w:id="549"/>
      <w:bookmarkEnd w:id="550"/>
    </w:p>
    <w:bookmarkEnd w:id="551"/>
    <w:p w14:paraId="09DC27CB">
      <w:pPr>
        <w:pStyle w:val="5"/>
        <w:spacing w:before="0" w:after="0"/>
        <w:ind w:firstLine="482"/>
        <w:jc w:val="both"/>
        <w:rPr>
          <w:rFonts w:ascii="黑体" w:hAnsi="黑体" w:eastAsia="黑体" w:cs="黑体"/>
          <w:bCs w:val="0"/>
          <w:szCs w:val="24"/>
        </w:rPr>
      </w:pPr>
      <w:bookmarkStart w:id="552" w:name="_Toc29987"/>
      <w:bookmarkStart w:id="553" w:name="_Toc26783948"/>
      <w:bookmarkStart w:id="554" w:name="OLE_LINK151"/>
      <w:r>
        <w:rPr>
          <w:rFonts w:hint="eastAsia" w:ascii="黑体" w:hAnsi="黑体" w:eastAsia="黑体" w:cs="黑体"/>
          <w:bCs w:val="0"/>
          <w:szCs w:val="24"/>
        </w:rPr>
        <w:t>1.关于节能产品及环境标志产品</w:t>
      </w:r>
      <w:bookmarkEnd w:id="552"/>
      <w:bookmarkEnd w:id="553"/>
    </w:p>
    <w:bookmarkEnd w:id="554"/>
    <w:p w14:paraId="7E0A6A72">
      <w:pPr>
        <w:spacing w:line="360" w:lineRule="auto"/>
        <w:ind w:firstLine="420"/>
        <w:rPr>
          <w:szCs w:val="21"/>
        </w:rPr>
      </w:pPr>
      <w:r>
        <w:rPr>
          <w:rFonts w:hint="eastAsia"/>
        </w:rPr>
        <w:t>1</w:t>
      </w:r>
      <w:r>
        <w:t>.1根据《财政部 发展改革委 生态环境部 市场监管总局 关于调整优化节能产品、环境标志产品政府采购执行机制的通知》（财库〔2019〕9号），对政府采购节能产品、环境标志产品实施品目清单管理。</w:t>
      </w:r>
    </w:p>
    <w:p w14:paraId="10C9917A">
      <w:pPr>
        <w:spacing w:line="360" w:lineRule="auto"/>
        <w:ind w:firstLine="420"/>
      </w:pPr>
      <w:r>
        <w:rPr>
          <w:rFonts w:hint="eastAsia"/>
        </w:rPr>
        <w:t>1</w:t>
      </w:r>
      <w:r>
        <w:t>.2节能产品是指列入财政部和发展改革委公布的《关于印发节能产品政府采购品目清单的通知》（财库〔2019〕19号）《节能产品政府采购品目清单》中的产品，其中以</w:t>
      </w:r>
      <w:r>
        <w:rPr>
          <w:rFonts w:hint="eastAsia"/>
        </w:rPr>
        <w:t>“</w:t>
      </w:r>
      <w:r>
        <w:rPr>
          <w:rFonts w:hint="eastAsia" w:ascii="宋体" w:hAnsi="宋体" w:cs="宋体"/>
          <w:sz w:val="24"/>
        </w:rPr>
        <w:t>★</w:t>
      </w:r>
      <w:r>
        <w:rPr>
          <w:rFonts w:hint="eastAsia"/>
        </w:rPr>
        <w:t>”</w:t>
      </w:r>
      <w:r>
        <w:t>标注的为政府强制采购产品。</w:t>
      </w:r>
    </w:p>
    <w:p w14:paraId="012AE6D8">
      <w:pPr>
        <w:spacing w:line="360" w:lineRule="auto"/>
        <w:ind w:firstLine="420"/>
      </w:pPr>
      <w:r>
        <w:rPr>
          <w:rFonts w:hint="eastAsia"/>
        </w:rPr>
        <w:t>1</w:t>
      </w:r>
      <w:r>
        <w:t>.3环境标志产品是指列入财政部和生态环境部公布的《关于印发环境标志产品政府采购品目清单的通知》（财库〔2019〕18号）《环境标志产品政府采购品目清单》中的产品。</w:t>
      </w:r>
    </w:p>
    <w:p w14:paraId="626B2D62">
      <w:pPr>
        <w:spacing w:line="360" w:lineRule="auto"/>
        <w:ind w:firstLine="420"/>
      </w:pPr>
      <w:r>
        <w:rPr>
          <w:rFonts w:hint="eastAsia"/>
        </w:rPr>
        <w:t>1</w:t>
      </w:r>
      <w:r>
        <w:t>.4产品属于节能产品或环境标志产品的，</w:t>
      </w:r>
      <w:r>
        <w:rPr>
          <w:rFonts w:hint="eastAsia"/>
        </w:rPr>
        <w:t>供应商</w:t>
      </w:r>
      <w:r>
        <w:t>需在</w:t>
      </w:r>
      <w:r>
        <w:rPr>
          <w:rFonts w:hint="eastAsia"/>
        </w:rPr>
        <w:t>响应</w:t>
      </w:r>
      <w:r>
        <w:t>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64BB928">
      <w:pPr>
        <w:spacing w:line="360" w:lineRule="auto"/>
        <w:ind w:firstLine="420"/>
        <w:rPr>
          <w:rFonts w:ascii="宋体" w:hAnsi="宋体" w:cs="宋体"/>
          <w:szCs w:val="21"/>
        </w:rPr>
      </w:pPr>
      <w:r>
        <w:rPr>
          <w:rFonts w:hint="eastAsia"/>
        </w:rPr>
        <w:t>1</w:t>
      </w:r>
      <w:r>
        <w:t>.5若</w:t>
      </w:r>
      <w:r>
        <w:rPr>
          <w:rFonts w:hint="eastAsia"/>
        </w:rPr>
        <w:t>供应商</w:t>
      </w:r>
      <w:r>
        <w:t>在</w:t>
      </w:r>
      <w:r>
        <w:rPr>
          <w:rFonts w:hint="eastAsia"/>
        </w:rPr>
        <w:t>响应</w:t>
      </w:r>
      <w:r>
        <w:t>文件中未提供或未按要求提供产品经国家确定的参与实施政府采购节能产品认证机构或参与实施政府采购环境标志产品认证机构出具的、处于有效期之内的节能产品、环境标志产品认证证书</w:t>
      </w:r>
      <w:r>
        <w:rPr>
          <w:rFonts w:hint="eastAsia"/>
        </w:rPr>
        <w:t>单一来源采购人员</w:t>
      </w:r>
      <w:r>
        <w:t>在</w:t>
      </w:r>
      <w:r>
        <w:rPr>
          <w:rFonts w:hint="eastAsia"/>
        </w:rPr>
        <w:t>协商</w:t>
      </w:r>
      <w:r>
        <w:t>过程中将不予认可，由此造成的一切后果</w:t>
      </w:r>
      <w:r>
        <w:rPr>
          <w:rFonts w:hint="eastAsia"/>
        </w:rPr>
        <w:t>供应商</w:t>
      </w:r>
      <w:r>
        <w:t>自行承担。</w:t>
      </w:r>
    </w:p>
    <w:p w14:paraId="0F0E59FA">
      <w:pPr>
        <w:pStyle w:val="5"/>
        <w:spacing w:before="0" w:after="0"/>
        <w:ind w:firstLine="482"/>
        <w:jc w:val="both"/>
        <w:rPr>
          <w:rFonts w:ascii="黑体" w:hAnsi="黑体" w:eastAsia="黑体" w:cs="黑体"/>
          <w:bCs w:val="0"/>
          <w:szCs w:val="24"/>
        </w:rPr>
      </w:pPr>
      <w:r>
        <w:rPr>
          <w:rFonts w:hint="eastAsia" w:ascii="黑体" w:hAnsi="黑体" w:eastAsia="黑体" w:cs="黑体"/>
          <w:bCs w:val="0"/>
          <w:szCs w:val="24"/>
        </w:rPr>
        <w:t>2.异常低价审查</w:t>
      </w:r>
    </w:p>
    <w:p w14:paraId="3EAFB85A">
      <w:pPr>
        <w:spacing w:line="460" w:lineRule="exact"/>
        <w:ind w:firstLine="420" w:firstLineChars="200"/>
        <w:jc w:val="left"/>
        <w:rPr>
          <w:rFonts w:ascii="宋体"/>
          <w:szCs w:val="21"/>
        </w:rPr>
      </w:pPr>
      <w:r>
        <w:rPr>
          <w:rFonts w:hint="eastAsia" w:ascii="宋体"/>
          <w:szCs w:val="21"/>
        </w:rPr>
        <w:t>2.1评审中出现下列情形之一的，评审委员会应当启动异常低价投标审查程序：</w:t>
      </w:r>
    </w:p>
    <w:p w14:paraId="2133382B">
      <w:pPr>
        <w:spacing w:line="460" w:lineRule="exact"/>
        <w:ind w:firstLine="420" w:firstLineChars="200"/>
        <w:jc w:val="left"/>
        <w:rPr>
          <w:rFonts w:ascii="宋体"/>
          <w:szCs w:val="21"/>
        </w:rPr>
      </w:pPr>
      <w:r>
        <w:rPr>
          <w:rFonts w:hint="eastAsia" w:ascii="宋体"/>
          <w:szCs w:val="21"/>
        </w:rPr>
        <w:t>①</w:t>
      </w:r>
      <w:r>
        <w:rPr>
          <w:rFonts w:ascii="宋体"/>
          <w:szCs w:val="21"/>
        </w:rPr>
        <w:t>投标</w:t>
      </w:r>
      <w:r>
        <w:rPr>
          <w:rFonts w:hint="eastAsia"/>
          <w:szCs w:val="21"/>
        </w:rPr>
        <w:t>（响应）</w:t>
      </w:r>
      <w:r>
        <w:rPr>
          <w:rFonts w:hint="eastAsia" w:ascii="宋体"/>
          <w:szCs w:val="21"/>
        </w:rPr>
        <w:t>报价低于全部通过符合性审查供应商投标</w:t>
      </w:r>
      <w:r>
        <w:rPr>
          <w:rFonts w:hint="eastAsia"/>
          <w:szCs w:val="21"/>
        </w:rPr>
        <w:t>（响应）</w:t>
      </w:r>
      <w:r>
        <w:rPr>
          <w:rFonts w:hint="eastAsia" w:ascii="宋体"/>
          <w:szCs w:val="21"/>
        </w:rPr>
        <w:t>报价平均值50%的，即</w:t>
      </w:r>
      <w:r>
        <w:rPr>
          <w:rFonts w:ascii="宋体"/>
          <w:szCs w:val="21"/>
        </w:rPr>
        <w:t>投标</w:t>
      </w:r>
      <w:r>
        <w:rPr>
          <w:rFonts w:hint="eastAsia"/>
          <w:szCs w:val="21"/>
        </w:rPr>
        <w:t>（响应）</w:t>
      </w:r>
      <w:r>
        <w:rPr>
          <w:rFonts w:hint="eastAsia" w:ascii="宋体"/>
          <w:szCs w:val="21"/>
        </w:rPr>
        <w:t>报价&lt;全部通过符合性审查供应商</w:t>
      </w:r>
      <w:r>
        <w:rPr>
          <w:rFonts w:ascii="宋体"/>
          <w:szCs w:val="21"/>
        </w:rPr>
        <w:t>投标</w:t>
      </w:r>
      <w:r>
        <w:rPr>
          <w:rFonts w:hint="eastAsia"/>
          <w:szCs w:val="21"/>
        </w:rPr>
        <w:t>（响应）</w:t>
      </w:r>
      <w:r>
        <w:rPr>
          <w:rFonts w:hint="eastAsia" w:ascii="宋体"/>
          <w:szCs w:val="21"/>
        </w:rPr>
        <w:t>报价平均值×50%；</w:t>
      </w:r>
    </w:p>
    <w:p w14:paraId="34874009">
      <w:pPr>
        <w:spacing w:line="460" w:lineRule="exact"/>
        <w:ind w:firstLine="420" w:firstLineChars="200"/>
        <w:jc w:val="left"/>
        <w:rPr>
          <w:rFonts w:ascii="宋体"/>
          <w:szCs w:val="21"/>
        </w:rPr>
      </w:pPr>
      <w:r>
        <w:rPr>
          <w:rFonts w:hint="eastAsia" w:ascii="宋体"/>
          <w:szCs w:val="21"/>
        </w:rPr>
        <w:t>②</w:t>
      </w:r>
      <w:r>
        <w:rPr>
          <w:rFonts w:ascii="宋体"/>
          <w:szCs w:val="21"/>
        </w:rPr>
        <w:t>投标</w:t>
      </w:r>
      <w:r>
        <w:rPr>
          <w:rFonts w:hint="eastAsia"/>
          <w:szCs w:val="21"/>
        </w:rPr>
        <w:t>（响应）</w:t>
      </w:r>
      <w:r>
        <w:rPr>
          <w:rFonts w:hint="eastAsia" w:ascii="宋体"/>
          <w:szCs w:val="21"/>
        </w:rPr>
        <w:t>报价低于通过符合性审查的次低报价供应商</w:t>
      </w:r>
      <w:r>
        <w:rPr>
          <w:rFonts w:ascii="宋体"/>
          <w:szCs w:val="21"/>
        </w:rPr>
        <w:t>投标</w:t>
      </w:r>
      <w:r>
        <w:rPr>
          <w:rFonts w:hint="eastAsia"/>
          <w:szCs w:val="21"/>
        </w:rPr>
        <w:t>（响应）</w:t>
      </w:r>
      <w:r>
        <w:rPr>
          <w:rFonts w:hint="eastAsia" w:ascii="宋体"/>
          <w:szCs w:val="21"/>
        </w:rPr>
        <w:t>报价50%的，即</w:t>
      </w:r>
      <w:r>
        <w:rPr>
          <w:rFonts w:ascii="宋体"/>
          <w:szCs w:val="21"/>
        </w:rPr>
        <w:t>投标</w:t>
      </w:r>
      <w:r>
        <w:rPr>
          <w:rFonts w:hint="eastAsia"/>
          <w:szCs w:val="21"/>
        </w:rPr>
        <w:t>（响应）</w:t>
      </w:r>
      <w:r>
        <w:rPr>
          <w:rFonts w:hint="eastAsia" w:ascii="宋体"/>
          <w:szCs w:val="21"/>
        </w:rPr>
        <w:t>报价&lt;通过符合性审查的次低报价供应商</w:t>
      </w:r>
      <w:r>
        <w:rPr>
          <w:rFonts w:ascii="宋体"/>
          <w:szCs w:val="21"/>
        </w:rPr>
        <w:t>投标</w:t>
      </w:r>
      <w:r>
        <w:rPr>
          <w:rFonts w:hint="eastAsia"/>
          <w:szCs w:val="21"/>
        </w:rPr>
        <w:t>（响应）</w:t>
      </w:r>
      <w:r>
        <w:rPr>
          <w:rFonts w:hint="eastAsia" w:ascii="宋体"/>
          <w:szCs w:val="21"/>
        </w:rPr>
        <w:t>报价×50%；</w:t>
      </w:r>
    </w:p>
    <w:p w14:paraId="31228430">
      <w:pPr>
        <w:spacing w:line="460" w:lineRule="exact"/>
        <w:ind w:firstLine="420" w:firstLineChars="200"/>
        <w:jc w:val="left"/>
        <w:rPr>
          <w:rFonts w:ascii="宋体"/>
          <w:szCs w:val="21"/>
        </w:rPr>
      </w:pPr>
      <w:r>
        <w:rPr>
          <w:rFonts w:hint="eastAsia" w:ascii="宋体"/>
          <w:szCs w:val="21"/>
        </w:rPr>
        <w:t>③</w:t>
      </w:r>
      <w:r>
        <w:rPr>
          <w:rFonts w:ascii="宋体"/>
          <w:szCs w:val="21"/>
        </w:rPr>
        <w:t>投标</w:t>
      </w:r>
      <w:r>
        <w:rPr>
          <w:rFonts w:hint="eastAsia"/>
          <w:szCs w:val="21"/>
        </w:rPr>
        <w:t>（响应）</w:t>
      </w:r>
      <w:r>
        <w:rPr>
          <w:rFonts w:hint="eastAsia" w:ascii="宋体"/>
          <w:szCs w:val="21"/>
        </w:rPr>
        <w:t>报价低于采购项目最高限价45%的，即投标</w:t>
      </w:r>
      <w:r>
        <w:rPr>
          <w:rFonts w:hint="eastAsia"/>
          <w:szCs w:val="21"/>
        </w:rPr>
        <w:t>（响应）</w:t>
      </w:r>
      <w:r>
        <w:rPr>
          <w:rFonts w:hint="eastAsia" w:ascii="宋体"/>
          <w:szCs w:val="21"/>
        </w:rPr>
        <w:t>报价&lt;采购项目最高限价×45%；</w:t>
      </w:r>
    </w:p>
    <w:p w14:paraId="7D2454EF">
      <w:pPr>
        <w:spacing w:line="460" w:lineRule="exact"/>
        <w:ind w:firstLine="420" w:firstLineChars="200"/>
        <w:jc w:val="left"/>
        <w:rPr>
          <w:rFonts w:ascii="宋体"/>
          <w:szCs w:val="21"/>
        </w:rPr>
      </w:pPr>
      <w:r>
        <w:rPr>
          <w:rFonts w:hint="eastAsia" w:ascii="宋体"/>
          <w:szCs w:val="21"/>
        </w:rPr>
        <w:t>④评审委员会基于专业判断，认为供应商报价过低，有可能影响产品质量或者不能诚信履约的其他情形。</w:t>
      </w:r>
    </w:p>
    <w:p w14:paraId="0C96597C">
      <w:pPr>
        <w:spacing w:line="460" w:lineRule="exact"/>
        <w:ind w:firstLine="420" w:firstLineChars="200"/>
        <w:jc w:val="left"/>
        <w:rPr>
          <w:rFonts w:ascii="宋体"/>
          <w:szCs w:val="21"/>
        </w:rPr>
      </w:pPr>
      <w:r>
        <w:rPr>
          <w:rFonts w:hint="eastAsia" w:ascii="宋体"/>
          <w:szCs w:val="21"/>
        </w:rPr>
        <w:t>相关法律法规对供应商报价有规定的，从其规定。</w:t>
      </w:r>
    </w:p>
    <w:p w14:paraId="706F7C3E">
      <w:pPr>
        <w:spacing w:line="460" w:lineRule="exact"/>
        <w:ind w:firstLine="420" w:firstLineChars="200"/>
        <w:jc w:val="left"/>
        <w:rPr>
          <w:rFonts w:ascii="宋体"/>
          <w:szCs w:val="21"/>
        </w:rPr>
      </w:pPr>
      <w:r>
        <w:rPr>
          <w:rFonts w:hint="eastAsia" w:ascii="宋体"/>
          <w:szCs w:val="21"/>
        </w:rPr>
        <w:t>2.2评审委员会启动异常低价投标</w:t>
      </w:r>
      <w:r>
        <w:rPr>
          <w:rFonts w:hint="eastAsia"/>
          <w:szCs w:val="21"/>
        </w:rPr>
        <w:t>（响应）</w:t>
      </w:r>
      <w:r>
        <w:rPr>
          <w:rFonts w:hint="eastAsia" w:ascii="宋体"/>
          <w:szCs w:val="21"/>
        </w:rPr>
        <w:t>审查后，属于前述第①项至第④项情形的，应当要求相关供应商在评审现场合理的时间内对投标</w:t>
      </w:r>
      <w:r>
        <w:rPr>
          <w:rFonts w:hint="eastAsia"/>
          <w:szCs w:val="21"/>
        </w:rPr>
        <w:t>（响应）</w:t>
      </w:r>
      <w:r>
        <w:rPr>
          <w:rFonts w:hint="eastAsia" w:ascii="宋体"/>
          <w:szCs w:val="21"/>
        </w:rPr>
        <w:t>价格作出解释，提供项目具体成本测算等与报价合理性相关的书面说明及必要的证明材料，包括但不限于原材料成本、人工成本、制造费用等，给予相关供应商的合理时间一般不少于30分钟。其中，属于第③项情形，供应商已随</w:t>
      </w:r>
      <w:r>
        <w:rPr>
          <w:rFonts w:ascii="宋体"/>
          <w:szCs w:val="21"/>
        </w:rPr>
        <w:t>投标</w:t>
      </w:r>
      <w:r>
        <w:rPr>
          <w:rFonts w:hint="eastAsia"/>
          <w:szCs w:val="21"/>
        </w:rPr>
        <w:t>（响应）</w:t>
      </w:r>
      <w:r>
        <w:rPr>
          <w:rFonts w:hint="eastAsia" w:ascii="宋体"/>
          <w:szCs w:val="21"/>
        </w:rPr>
        <w:t>文件一并提交相关书面说明及必要的证明材料的，在评审现场可不再重复提交。</w:t>
      </w:r>
    </w:p>
    <w:p w14:paraId="3B28CB05">
      <w:pPr>
        <w:spacing w:line="460" w:lineRule="exact"/>
        <w:ind w:firstLine="420" w:firstLineChars="200"/>
        <w:jc w:val="left"/>
        <w:rPr>
          <w:rFonts w:ascii="宋体"/>
          <w:szCs w:val="21"/>
        </w:rPr>
      </w:pPr>
      <w:r>
        <w:rPr>
          <w:rFonts w:hint="eastAsia" w:ascii="宋体"/>
          <w:szCs w:val="21"/>
        </w:rPr>
        <w:t>2.3评审委员会依据专业经验，参考同类项目中标</w:t>
      </w:r>
      <w:r>
        <w:rPr>
          <w:rFonts w:hint="eastAsia"/>
          <w:szCs w:val="21"/>
        </w:rPr>
        <w:t>（成交）</w:t>
      </w:r>
      <w:r>
        <w:rPr>
          <w:rFonts w:hint="eastAsia" w:ascii="宋体"/>
          <w:szCs w:val="21"/>
        </w:rPr>
        <w:t>价格、类似产品市场价格水平、行业人工费用标准、国家有关部门指导行业协会发布的行业平均成本等情况，对报价合理性进行判断。投标</w:t>
      </w:r>
      <w:r>
        <w:rPr>
          <w:rFonts w:hint="eastAsia"/>
          <w:szCs w:val="21"/>
        </w:rPr>
        <w:t>（响应）</w:t>
      </w:r>
      <w:r>
        <w:rPr>
          <w:rFonts w:hint="eastAsia" w:ascii="宋体"/>
          <w:szCs w:val="21"/>
        </w:rPr>
        <w:t>供应商不能提供书面说明、证明材料，或者提供的书面说明、证明材料不能证明其报价合理性的，评审委员会应当将其作为无效</w:t>
      </w:r>
      <w:r>
        <w:rPr>
          <w:rFonts w:ascii="宋体"/>
          <w:szCs w:val="21"/>
        </w:rPr>
        <w:t>投标</w:t>
      </w:r>
      <w:r>
        <w:rPr>
          <w:rFonts w:hint="eastAsia"/>
          <w:szCs w:val="21"/>
        </w:rPr>
        <w:t>（响应）</w:t>
      </w:r>
      <w:r>
        <w:rPr>
          <w:rFonts w:hint="eastAsia" w:ascii="宋体"/>
          <w:szCs w:val="21"/>
        </w:rPr>
        <w:t>处理。</w:t>
      </w:r>
    </w:p>
    <w:p w14:paraId="5A86FB1F">
      <w:pPr>
        <w:spacing w:line="460" w:lineRule="exact"/>
        <w:ind w:firstLine="420" w:firstLineChars="200"/>
        <w:jc w:val="left"/>
        <w:rPr>
          <w:szCs w:val="21"/>
        </w:rPr>
      </w:pPr>
      <w:r>
        <w:rPr>
          <w:rFonts w:hint="eastAsia" w:ascii="宋体"/>
          <w:szCs w:val="21"/>
        </w:rPr>
        <w:t>2.4异常低价投标（响应）审查的启动原因、审查意见和审查结果应当在评审报告中记录，并随供应商提供的相关书面说明及证明材料，以及评审委员会有关互联网浏览、查询历史一并归档。</w:t>
      </w:r>
    </w:p>
    <w:p w14:paraId="12264B7B">
      <w:pPr>
        <w:spacing w:line="360" w:lineRule="auto"/>
        <w:ind w:firstLine="420"/>
        <w:sectPr>
          <w:pgSz w:w="11906" w:h="16838"/>
          <w:pgMar w:top="1440" w:right="1440" w:bottom="1440" w:left="1440" w:header="510" w:footer="680" w:gutter="0"/>
          <w:cols w:space="0" w:num="1"/>
          <w:titlePg/>
          <w:docGrid w:type="linesAndChars" w:linePitch="312" w:charSpace="0"/>
        </w:sectPr>
      </w:pPr>
    </w:p>
    <w:p w14:paraId="7773980F">
      <w:pPr>
        <w:widowControl/>
        <w:jc w:val="center"/>
        <w:outlineLvl w:val="1"/>
        <w:rPr>
          <w:rFonts w:hAnsi="宋体"/>
          <w:b/>
          <w:sz w:val="24"/>
        </w:rPr>
      </w:pPr>
      <w:r>
        <w:rPr>
          <w:rFonts w:hint="eastAsia" w:ascii="宋体" w:hAnsi="宋体" w:cs="宋体"/>
          <w:b/>
          <w:bCs/>
          <w:snapToGrid w:val="0"/>
          <w:kern w:val="21"/>
          <w:sz w:val="28"/>
          <w:szCs w:val="28"/>
        </w:rPr>
        <w:t>协商承诺书</w:t>
      </w:r>
    </w:p>
    <w:tbl>
      <w:tblPr>
        <w:tblStyle w:val="38"/>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6"/>
      </w:tblGrid>
      <w:tr w14:paraId="05FF5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9076" w:type="dxa"/>
            <w:vAlign w:val="center"/>
          </w:tcPr>
          <w:p w14:paraId="6F67ABAE">
            <w:pPr>
              <w:spacing w:line="400" w:lineRule="exact"/>
              <w:rPr>
                <w:rFonts w:ascii="宋体" w:hAnsi="宋体" w:cs="宋体"/>
                <w:szCs w:val="21"/>
              </w:rPr>
            </w:pPr>
            <w:r>
              <w:rPr>
                <w:rFonts w:hint="eastAsia" w:ascii="宋体" w:hAnsi="宋体" w:cs="宋体"/>
                <w:szCs w:val="21"/>
              </w:rPr>
              <w:t>项目名称：西南林业大学机械与交通学院基于智慧树教学平台的机械类智慧课程教学资源库建设服务</w:t>
            </w:r>
          </w:p>
        </w:tc>
      </w:tr>
      <w:tr w14:paraId="4808E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9076" w:type="dxa"/>
            <w:vAlign w:val="center"/>
          </w:tcPr>
          <w:p w14:paraId="2EEB50AD">
            <w:pPr>
              <w:spacing w:line="400" w:lineRule="exact"/>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YNZC2026-D3-03520-YNZZ-0337</w:t>
            </w:r>
          </w:p>
        </w:tc>
      </w:tr>
      <w:tr w14:paraId="04E0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2" w:hRule="atLeast"/>
          <w:jc w:val="center"/>
        </w:trPr>
        <w:tc>
          <w:tcPr>
            <w:tcW w:w="9076" w:type="dxa"/>
          </w:tcPr>
          <w:p w14:paraId="4CDE3B0B">
            <w:pPr>
              <w:rPr>
                <w:rFonts w:ascii="宋体" w:hAnsi="宋体" w:cs="宋体"/>
                <w:sz w:val="22"/>
                <w:szCs w:val="22"/>
              </w:rPr>
            </w:pPr>
          </w:p>
          <w:p w14:paraId="50F0BB25">
            <w:pPr>
              <w:rPr>
                <w:rFonts w:ascii="宋体" w:hAnsi="宋体" w:cs="宋体"/>
                <w:sz w:val="22"/>
                <w:szCs w:val="22"/>
              </w:rPr>
            </w:pPr>
            <w:r>
              <w:rPr>
                <w:rFonts w:hint="eastAsia" w:hAnsi="宋体" w:cs="宋体"/>
                <w:sz w:val="22"/>
                <w:szCs w:val="22"/>
              </w:rPr>
              <w:t>承诺内容：</w:t>
            </w:r>
          </w:p>
          <w:p w14:paraId="52C353AC">
            <w:pPr>
              <w:rPr>
                <w:rFonts w:ascii="宋体" w:hAnsi="宋体" w:cs="宋体"/>
                <w:sz w:val="22"/>
                <w:szCs w:val="22"/>
              </w:rPr>
            </w:pPr>
          </w:p>
          <w:p w14:paraId="4B7A0A4F">
            <w:pPr>
              <w:rPr>
                <w:rFonts w:ascii="宋体" w:hAnsi="宋体" w:cs="宋体"/>
                <w:sz w:val="22"/>
                <w:szCs w:val="22"/>
              </w:rPr>
            </w:pPr>
          </w:p>
          <w:p w14:paraId="16E4F736">
            <w:pPr>
              <w:rPr>
                <w:rFonts w:ascii="宋体" w:hAnsi="宋体" w:cs="宋体"/>
                <w:sz w:val="22"/>
                <w:szCs w:val="22"/>
              </w:rPr>
            </w:pPr>
          </w:p>
          <w:p w14:paraId="397A2070">
            <w:pPr>
              <w:rPr>
                <w:rFonts w:ascii="宋体" w:hAnsi="宋体" w:cs="宋体"/>
                <w:sz w:val="22"/>
                <w:szCs w:val="22"/>
              </w:rPr>
            </w:pPr>
          </w:p>
          <w:p w14:paraId="63410891">
            <w:pPr>
              <w:rPr>
                <w:rFonts w:ascii="宋体" w:hAnsi="宋体" w:cs="宋体"/>
                <w:sz w:val="22"/>
                <w:szCs w:val="22"/>
              </w:rPr>
            </w:pPr>
          </w:p>
          <w:p w14:paraId="2A2CF467">
            <w:pPr>
              <w:rPr>
                <w:rFonts w:ascii="宋体" w:hAnsi="宋体" w:cs="宋体"/>
                <w:sz w:val="22"/>
                <w:szCs w:val="22"/>
              </w:rPr>
            </w:pPr>
          </w:p>
          <w:p w14:paraId="48B06259">
            <w:pPr>
              <w:rPr>
                <w:rFonts w:ascii="宋体" w:hAnsi="宋体" w:cs="宋体"/>
                <w:sz w:val="22"/>
                <w:szCs w:val="22"/>
              </w:rPr>
            </w:pPr>
          </w:p>
          <w:p w14:paraId="282C8EE3">
            <w:pPr>
              <w:rPr>
                <w:rFonts w:ascii="宋体" w:hAnsi="宋体" w:cs="宋体"/>
                <w:sz w:val="22"/>
                <w:szCs w:val="22"/>
              </w:rPr>
            </w:pPr>
          </w:p>
          <w:p w14:paraId="096A71E9">
            <w:pPr>
              <w:rPr>
                <w:rFonts w:ascii="宋体" w:hAnsi="宋体" w:cs="宋体"/>
                <w:sz w:val="22"/>
                <w:szCs w:val="22"/>
              </w:rPr>
            </w:pPr>
          </w:p>
          <w:p w14:paraId="4C2A8109">
            <w:pPr>
              <w:rPr>
                <w:rFonts w:ascii="宋体" w:hAnsi="宋体" w:cs="宋体"/>
                <w:sz w:val="22"/>
                <w:szCs w:val="22"/>
              </w:rPr>
            </w:pPr>
          </w:p>
          <w:p w14:paraId="211DF50F">
            <w:pPr>
              <w:rPr>
                <w:rFonts w:ascii="宋体" w:hAnsi="宋体" w:cs="宋体"/>
                <w:sz w:val="22"/>
                <w:szCs w:val="22"/>
              </w:rPr>
            </w:pPr>
          </w:p>
          <w:p w14:paraId="5B38E58C">
            <w:pPr>
              <w:rPr>
                <w:rFonts w:ascii="宋体" w:hAnsi="宋体" w:cs="宋体"/>
                <w:sz w:val="22"/>
                <w:szCs w:val="22"/>
              </w:rPr>
            </w:pPr>
          </w:p>
          <w:p w14:paraId="2ACA8AB9">
            <w:pPr>
              <w:rPr>
                <w:rFonts w:ascii="宋体" w:hAnsi="宋体" w:cs="宋体"/>
                <w:sz w:val="22"/>
                <w:szCs w:val="22"/>
              </w:rPr>
            </w:pPr>
          </w:p>
          <w:p w14:paraId="4F03A18B">
            <w:pPr>
              <w:rPr>
                <w:rFonts w:ascii="宋体" w:hAnsi="宋体" w:cs="宋体"/>
                <w:sz w:val="22"/>
                <w:szCs w:val="22"/>
              </w:rPr>
            </w:pPr>
          </w:p>
          <w:p w14:paraId="43E339D8">
            <w:pPr>
              <w:rPr>
                <w:rFonts w:ascii="宋体" w:hAnsi="宋体" w:cs="宋体"/>
                <w:sz w:val="22"/>
                <w:szCs w:val="22"/>
              </w:rPr>
            </w:pPr>
          </w:p>
          <w:p w14:paraId="0A09C826">
            <w:pPr>
              <w:rPr>
                <w:rFonts w:ascii="宋体" w:hAnsi="宋体" w:cs="宋体"/>
                <w:sz w:val="22"/>
                <w:szCs w:val="22"/>
              </w:rPr>
            </w:pPr>
          </w:p>
          <w:p w14:paraId="648095D7">
            <w:pPr>
              <w:rPr>
                <w:rFonts w:ascii="宋体" w:hAnsi="宋体" w:cs="宋体"/>
                <w:sz w:val="22"/>
                <w:szCs w:val="22"/>
              </w:rPr>
            </w:pPr>
          </w:p>
          <w:p w14:paraId="2629F092">
            <w:pPr>
              <w:rPr>
                <w:rFonts w:ascii="宋体" w:hAnsi="宋体" w:cs="宋体"/>
                <w:sz w:val="22"/>
                <w:szCs w:val="22"/>
              </w:rPr>
            </w:pPr>
          </w:p>
          <w:p w14:paraId="4C13C7E1">
            <w:pPr>
              <w:rPr>
                <w:rFonts w:ascii="宋体" w:hAnsi="宋体" w:cs="宋体"/>
                <w:sz w:val="22"/>
                <w:szCs w:val="22"/>
              </w:rPr>
            </w:pPr>
          </w:p>
          <w:p w14:paraId="6CF10AE0">
            <w:pPr>
              <w:rPr>
                <w:rFonts w:ascii="宋体" w:hAnsi="宋体" w:cs="宋体"/>
                <w:sz w:val="22"/>
                <w:szCs w:val="22"/>
              </w:rPr>
            </w:pPr>
          </w:p>
        </w:tc>
      </w:tr>
      <w:tr w14:paraId="035DB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9076" w:type="dxa"/>
            <w:vAlign w:val="center"/>
          </w:tcPr>
          <w:p w14:paraId="5A07A98C">
            <w:pPr>
              <w:rPr>
                <w:rFonts w:ascii="宋体" w:hAnsi="宋体" w:cs="宋体"/>
                <w:sz w:val="22"/>
                <w:szCs w:val="22"/>
              </w:rPr>
            </w:pPr>
            <w:r>
              <w:rPr>
                <w:rFonts w:hint="eastAsia" w:ascii="宋体" w:hAnsi="宋体" w:cs="宋体"/>
                <w:sz w:val="22"/>
                <w:szCs w:val="22"/>
              </w:rPr>
              <w:t xml:space="preserve">供应商（盖章）：                 </w:t>
            </w:r>
          </w:p>
          <w:p w14:paraId="07D372DB">
            <w:pPr>
              <w:rPr>
                <w:rFonts w:ascii="宋体" w:hAnsi="宋体" w:cs="宋体"/>
                <w:sz w:val="22"/>
                <w:szCs w:val="22"/>
              </w:rPr>
            </w:pPr>
          </w:p>
          <w:p w14:paraId="73CD880D">
            <w:pPr>
              <w:rPr>
                <w:rFonts w:ascii="宋体" w:hAnsi="宋体" w:cs="宋体"/>
                <w:sz w:val="22"/>
                <w:szCs w:val="22"/>
              </w:rPr>
            </w:pPr>
            <w:r>
              <w:rPr>
                <w:rFonts w:hint="eastAsia" w:ascii="宋体" w:hAnsi="宋体" w:cs="宋体"/>
                <w:sz w:val="22"/>
                <w:szCs w:val="22"/>
              </w:rPr>
              <w:t>法定代表人（单位负责人）或其委托代理人（签名或签章）：</w:t>
            </w:r>
          </w:p>
          <w:p w14:paraId="2BE6F3BA">
            <w:pPr>
              <w:rPr>
                <w:rFonts w:ascii="宋体" w:hAnsi="宋体" w:cs="宋体"/>
                <w:sz w:val="22"/>
                <w:szCs w:val="22"/>
              </w:rPr>
            </w:pPr>
          </w:p>
          <w:p w14:paraId="2F3C767A">
            <w:pPr>
              <w:rPr>
                <w:rFonts w:ascii="宋体" w:hAnsi="宋体" w:cs="宋体"/>
                <w:sz w:val="22"/>
                <w:szCs w:val="22"/>
              </w:rPr>
            </w:pPr>
            <w:r>
              <w:rPr>
                <w:rFonts w:hint="eastAsia" w:ascii="宋体" w:hAnsi="宋体" w:cs="宋体"/>
                <w:sz w:val="22"/>
                <w:szCs w:val="22"/>
              </w:rPr>
              <w:t>日   期：</w:t>
            </w:r>
          </w:p>
        </w:tc>
      </w:tr>
    </w:tbl>
    <w:p w14:paraId="54D078E0">
      <w:pPr>
        <w:pStyle w:val="18"/>
        <w:spacing w:line="0" w:lineRule="atLeast"/>
        <w:jc w:val="center"/>
        <w:rPr>
          <w:rFonts w:hAnsi="宋体"/>
          <w:b/>
          <w:sz w:val="21"/>
          <w:szCs w:val="21"/>
        </w:rPr>
      </w:pPr>
      <w:r>
        <w:rPr>
          <w:rFonts w:hint="eastAsia" w:hAnsi="宋体"/>
          <w:b/>
          <w:sz w:val="21"/>
          <w:szCs w:val="21"/>
        </w:rPr>
        <w:t>注：此表不需放入响应文件中，评审专家在“政采云平台”与供应商协商时，供应商使用。</w:t>
      </w:r>
    </w:p>
    <w:p w14:paraId="73564D5A">
      <w:pPr>
        <w:pStyle w:val="12"/>
        <w:spacing w:before="156"/>
        <w:sectPr>
          <w:pgSz w:w="11906" w:h="16838"/>
          <w:pgMar w:top="1440" w:right="1440" w:bottom="1440" w:left="1440" w:header="510" w:footer="680" w:gutter="0"/>
          <w:cols w:space="0" w:num="1"/>
          <w:titlePg/>
          <w:docGrid w:type="linesAndChars" w:linePitch="312" w:charSpace="0"/>
        </w:sectPr>
      </w:pPr>
    </w:p>
    <w:p w14:paraId="15057CEA">
      <w:pPr>
        <w:pStyle w:val="18"/>
        <w:spacing w:line="0" w:lineRule="atLeast"/>
        <w:jc w:val="center"/>
        <w:rPr>
          <w:rFonts w:hAnsi="宋体" w:cs="宋体"/>
          <w:b/>
          <w:bCs/>
          <w:snapToGrid w:val="0"/>
          <w:kern w:val="21"/>
          <w:sz w:val="28"/>
          <w:szCs w:val="28"/>
        </w:rPr>
      </w:pPr>
      <w:bookmarkStart w:id="555" w:name="OLE_LINK123"/>
      <w:bookmarkStart w:id="556" w:name="_Toc29952"/>
    </w:p>
    <w:p w14:paraId="15B9BD9A">
      <w:pPr>
        <w:pStyle w:val="18"/>
        <w:spacing w:line="0" w:lineRule="atLeast"/>
        <w:jc w:val="center"/>
        <w:rPr>
          <w:rFonts w:hAnsi="宋体" w:cs="宋体"/>
          <w:b/>
          <w:bCs/>
          <w:snapToGrid w:val="0"/>
          <w:kern w:val="21"/>
          <w:sz w:val="28"/>
          <w:szCs w:val="28"/>
        </w:rPr>
      </w:pPr>
      <w:r>
        <w:rPr>
          <w:rFonts w:hint="eastAsia" w:hAnsi="宋体" w:cs="宋体"/>
          <w:b/>
          <w:bCs/>
          <w:snapToGrid w:val="0"/>
          <w:kern w:val="21"/>
          <w:sz w:val="28"/>
          <w:szCs w:val="28"/>
        </w:rPr>
        <w:t>最后报价</w:t>
      </w:r>
      <w:bookmarkStart w:id="557" w:name="OLE_LINK344"/>
      <w:r>
        <w:rPr>
          <w:rFonts w:hint="eastAsia" w:hAnsi="宋体" w:cs="宋体"/>
          <w:b/>
          <w:bCs/>
          <w:snapToGrid w:val="0"/>
          <w:kern w:val="21"/>
          <w:sz w:val="28"/>
          <w:szCs w:val="28"/>
        </w:rPr>
        <w:t>承诺书</w:t>
      </w:r>
      <w:bookmarkEnd w:id="557"/>
    </w:p>
    <w:tbl>
      <w:tblPr>
        <w:tblStyle w:val="38"/>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3"/>
      </w:tblGrid>
      <w:tr w14:paraId="3EAC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463" w:type="dxa"/>
            <w:vAlign w:val="center"/>
          </w:tcPr>
          <w:p w14:paraId="3B4E3753">
            <w:pPr>
              <w:spacing w:line="400" w:lineRule="exact"/>
              <w:rPr>
                <w:rFonts w:ascii="宋体" w:hAnsi="宋体" w:cs="宋体"/>
                <w:szCs w:val="21"/>
              </w:rPr>
            </w:pPr>
            <w:r>
              <w:rPr>
                <w:rFonts w:hint="eastAsia" w:ascii="宋体" w:hAnsi="宋体" w:cs="宋体"/>
                <w:szCs w:val="21"/>
              </w:rPr>
              <w:t>项目名称：西南林业大学机械与交通学院基于智慧树教学平台的机械类智慧课程教学资源库建设服务</w:t>
            </w:r>
          </w:p>
        </w:tc>
      </w:tr>
      <w:tr w14:paraId="4D2F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463" w:type="dxa"/>
            <w:vAlign w:val="center"/>
          </w:tcPr>
          <w:p w14:paraId="46B69B08">
            <w:pPr>
              <w:spacing w:line="400" w:lineRule="exact"/>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YNZC2026-D3-03520-YNZZ-0337</w:t>
            </w:r>
          </w:p>
        </w:tc>
      </w:tr>
      <w:tr w14:paraId="141E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jc w:val="center"/>
        </w:trPr>
        <w:tc>
          <w:tcPr>
            <w:tcW w:w="9463" w:type="dxa"/>
            <w:vAlign w:val="center"/>
          </w:tcPr>
          <w:p w14:paraId="0A95FCCE">
            <w:pPr>
              <w:spacing w:line="460" w:lineRule="exact"/>
              <w:rPr>
                <w:rFonts w:ascii="宋体" w:hAnsi="宋体" w:cs="宋体"/>
                <w:szCs w:val="21"/>
              </w:rPr>
            </w:pPr>
            <w:r>
              <w:rPr>
                <w:rFonts w:hint="eastAsia" w:ascii="宋体" w:hAnsi="宋体" w:cs="宋体"/>
                <w:szCs w:val="21"/>
              </w:rPr>
              <w:t>最后报价</w:t>
            </w:r>
          </w:p>
          <w:p w14:paraId="7AE23D29">
            <w:pPr>
              <w:spacing w:line="460" w:lineRule="exact"/>
              <w:rPr>
                <w:rFonts w:ascii="宋体" w:hAnsi="宋体" w:cs="宋体"/>
                <w:szCs w:val="21"/>
                <w:u w:val="single"/>
              </w:rPr>
            </w:pPr>
            <w:r>
              <w:rPr>
                <w:rFonts w:hint="eastAsia" w:ascii="宋体" w:hAnsi="宋体" w:cs="宋体"/>
                <w:szCs w:val="21"/>
              </w:rPr>
              <w:t>小写：¥元</w:t>
            </w:r>
          </w:p>
          <w:p w14:paraId="0C3A33BA">
            <w:pPr>
              <w:spacing w:line="460" w:lineRule="exact"/>
              <w:rPr>
                <w:rFonts w:ascii="宋体" w:hAnsi="宋体" w:cs="宋体"/>
                <w:szCs w:val="21"/>
              </w:rPr>
            </w:pPr>
            <w:r>
              <w:rPr>
                <w:rFonts w:hint="eastAsia" w:ascii="宋体" w:hAnsi="宋体" w:cs="宋体"/>
                <w:szCs w:val="21"/>
              </w:rPr>
              <w:t>大写：</w:t>
            </w:r>
          </w:p>
        </w:tc>
      </w:tr>
      <w:tr w14:paraId="6B9B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jc w:val="center"/>
        </w:trPr>
        <w:tc>
          <w:tcPr>
            <w:tcW w:w="9463" w:type="dxa"/>
            <w:vAlign w:val="center"/>
          </w:tcPr>
          <w:p w14:paraId="63380C5E">
            <w:pPr>
              <w:spacing w:line="360" w:lineRule="auto"/>
              <w:rPr>
                <w:rFonts w:ascii="宋体" w:hAnsi="宋体" w:cs="宋体"/>
                <w:szCs w:val="21"/>
              </w:rPr>
            </w:pPr>
            <w:r>
              <w:rPr>
                <w:rFonts w:hint="eastAsia" w:ascii="宋体" w:hAnsi="宋体" w:cs="宋体"/>
                <w:szCs w:val="21"/>
              </w:rPr>
              <w:t xml:space="preserve">供应商（盖章）：                   </w:t>
            </w:r>
          </w:p>
          <w:p w14:paraId="262AAD20">
            <w:pPr>
              <w:spacing w:line="360" w:lineRule="auto"/>
              <w:rPr>
                <w:rFonts w:ascii="宋体" w:hAnsi="宋体" w:cs="宋体"/>
                <w:szCs w:val="21"/>
              </w:rPr>
            </w:pPr>
            <w:r>
              <w:rPr>
                <w:rFonts w:hint="eastAsia" w:ascii="宋体" w:hAnsi="宋体" w:cs="宋体"/>
                <w:szCs w:val="21"/>
              </w:rPr>
              <w:t>法定代表人（单位负责人）或其委托代理人（签名或签章）：</w:t>
            </w:r>
          </w:p>
          <w:p w14:paraId="68759012">
            <w:pPr>
              <w:spacing w:line="360" w:lineRule="auto"/>
              <w:rPr>
                <w:rFonts w:ascii="宋体" w:hAnsi="宋体" w:cs="宋体"/>
                <w:szCs w:val="21"/>
              </w:rPr>
            </w:pPr>
            <w:r>
              <w:rPr>
                <w:rFonts w:hint="eastAsia" w:ascii="宋体" w:hAnsi="宋体" w:cs="宋体"/>
                <w:szCs w:val="21"/>
              </w:rPr>
              <w:t>日   期：</w:t>
            </w:r>
          </w:p>
        </w:tc>
      </w:tr>
    </w:tbl>
    <w:p w14:paraId="173E487B">
      <w:pPr>
        <w:rPr>
          <w:rFonts w:ascii="宋体" w:hAnsi="宋体" w:cs="宋体"/>
          <w:b/>
          <w:bCs/>
          <w:snapToGrid w:val="0"/>
          <w:kern w:val="21"/>
          <w:szCs w:val="21"/>
        </w:rPr>
      </w:pPr>
      <w:r>
        <w:rPr>
          <w:rFonts w:hint="eastAsia" w:ascii="宋体" w:hAnsi="宋体" w:cs="宋体"/>
          <w:b/>
          <w:bCs/>
          <w:snapToGrid w:val="0"/>
          <w:kern w:val="21"/>
          <w:szCs w:val="21"/>
        </w:rPr>
        <w:t>注：此表不需放入响应文件中，供应商在政府采购云平台提交最后报价时使用。</w:t>
      </w:r>
      <w:bookmarkEnd w:id="555"/>
      <w:bookmarkEnd w:id="556"/>
    </w:p>
    <w:p w14:paraId="306697E3">
      <w:pPr>
        <w:jc w:val="left"/>
      </w:pPr>
    </w:p>
    <w:sectPr>
      <w:pgSz w:w="11906" w:h="16838"/>
      <w:pgMar w:top="1440" w:right="1440" w:bottom="1440" w:left="1440" w:header="510" w:footer="680" w:gutter="0"/>
      <w:cols w:space="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319EFD1-2E06-418D-A9FC-B99D8596C941}"/>
  </w:font>
  <w:font w:name="黑体">
    <w:panose1 w:val="02010609060101010101"/>
    <w:charset w:val="86"/>
    <w:family w:val="auto"/>
    <w:pitch w:val="default"/>
    <w:sig w:usb0="800002BF" w:usb1="38CF7CFA" w:usb2="00000016" w:usb3="00000000" w:csb0="00040001" w:csb1="00000000"/>
    <w:embedRegular r:id="rId2" w:fontKey="{40F27F09-9DE9-40FE-9401-DD23CFFEE0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3" w:fontKey="{525D244B-84F2-4081-A3B3-9350D6894A06}"/>
  </w:font>
  <w:font w:name="仿宋">
    <w:panose1 w:val="02010609060101010101"/>
    <w:charset w:val="86"/>
    <w:family w:val="modern"/>
    <w:pitch w:val="default"/>
    <w:sig w:usb0="800002BF" w:usb1="38CF7CFA" w:usb2="00000016" w:usb3="00000000" w:csb0="00040001" w:csb1="00000000"/>
    <w:embedRegular r:id="rId4" w:fontKey="{0B1D5823-E57C-4A03-8439-5EB5699ECB44}"/>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MicrosoftYaHei">
    <w:altName w:val="宋体"/>
    <w:panose1 w:val="00000000000000000000"/>
    <w:charset w:val="86"/>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5" w:fontKey="{305774D5-32C5-48C4-9C4F-C5E9CBD3C857}"/>
  </w:font>
  <w:font w:name="Wingdings 2">
    <w:panose1 w:val="05020102010507070707"/>
    <w:charset w:val="02"/>
    <w:family w:val="roman"/>
    <w:pitch w:val="default"/>
    <w:sig w:usb0="00000000" w:usb1="00000000" w:usb2="00000000" w:usb3="00000000" w:csb0="80000000" w:csb1="00000000"/>
    <w:embedRegular r:id="rId6" w:fontKey="{DC3CF842-6768-431C-A78F-C2D74161E981}"/>
  </w:font>
  <w:font w:name="微软雅黑">
    <w:panose1 w:val="020B0503020204020204"/>
    <w:charset w:val="86"/>
    <w:family w:val="swiss"/>
    <w:pitch w:val="default"/>
    <w:sig w:usb0="80000287" w:usb1="2ACF3C50" w:usb2="00000016" w:usb3="00000000" w:csb0="0004001F" w:csb1="00000000"/>
    <w:embedRegular r:id="rId7" w:fontKey="{387932D6-9022-412A-97BA-59F1C02A28A7}"/>
  </w:font>
  <w:font w:name="Malgun Gothic">
    <w:panose1 w:val="020B0503020000020004"/>
    <w:charset w:val="81"/>
    <w:family w:val="swiss"/>
    <w:pitch w:val="default"/>
    <w:sig w:usb0="9000002F" w:usb1="29D77CFB" w:usb2="00000012" w:usb3="00000000" w:csb0="00080001" w:csb1="00000000"/>
    <w:embedRegular r:id="rId8" w:fontKey="{2FD1B441-B164-4CB5-9287-3310701792C7}"/>
  </w:font>
  <w:font w:name="方正仿宋_GBK">
    <w:altName w:val="汉仪仿宋KW"/>
    <w:panose1 w:val="03000509000000000000"/>
    <w:charset w:val="86"/>
    <w:family w:val="script"/>
    <w:pitch w:val="default"/>
    <w:sig w:usb0="00000001" w:usb1="080E0000" w:usb2="00000000" w:usb3="00000000" w:csb0="00040000" w:csb1="00000000"/>
    <w:embedRegular r:id="rId9" w:fontKey="{F1B9E142-CDC6-4CC6-B3ED-B2E9FA979545}"/>
  </w:font>
  <w:font w:name="方正黑体_GBK">
    <w:panose1 w:val="03000509000000000000"/>
    <w:charset w:val="86"/>
    <w:family w:val="script"/>
    <w:pitch w:val="default"/>
    <w:sig w:usb0="00000001" w:usb1="080E0000" w:usb2="00000000" w:usb3="00000000" w:csb0="00040000" w:csb1="00000000"/>
    <w:embedRegular r:id="rId10" w:fontKey="{FE2F9A6D-BD1C-4BDD-8E7A-74807372CDDD}"/>
  </w:font>
  <w:font w:name="方正楷体_GBK">
    <w:altName w:val="微软雅黑"/>
    <w:panose1 w:val="03000509000000000000"/>
    <w:charset w:val="86"/>
    <w:family w:val="script"/>
    <w:pitch w:val="default"/>
    <w:sig w:usb0="00000001" w:usb1="080E0000" w:usb2="00000000" w:usb3="00000000" w:csb0="00040000" w:csb1="00000000"/>
    <w:embedRegular r:id="rId11" w:fontKey="{21A42A84-FC5D-4856-92EA-5F50209FE3D4}"/>
  </w:font>
  <w:font w:name="等线">
    <w:panose1 w:val="02010600030101010101"/>
    <w:charset w:val="86"/>
    <w:family w:val="auto"/>
    <w:pitch w:val="default"/>
    <w:sig w:usb0="A00002BF" w:usb1="38CF7CFA" w:usb2="00000016" w:usb3="00000000" w:csb0="0004000F" w:csb1="00000000"/>
    <w:embedRegular r:id="rId12" w:fontKey="{1B49EA5A-0E3D-463E-B3A9-0332AB9643E7}"/>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B6EA4">
    <w:pPr>
      <w:pStyle w:val="23"/>
      <w:jc w:val="center"/>
    </w:pPr>
    <w:r>
      <w:drawing>
        <wp:anchor distT="0" distB="0" distL="0" distR="0" simplePos="0" relativeHeight="251659264" behindDoc="1" locked="0" layoutInCell="1" allowOverlap="1">
          <wp:simplePos x="0" y="0"/>
          <wp:positionH relativeFrom="column">
            <wp:posOffset>3663315</wp:posOffset>
          </wp:positionH>
          <wp:positionV relativeFrom="paragraph">
            <wp:posOffset>3175</wp:posOffset>
          </wp:positionV>
          <wp:extent cx="2478405" cy="415290"/>
          <wp:effectExtent l="0" t="0" r="5715" b="11430"/>
          <wp:wrapNone/>
          <wp:docPr id="4097" name="图片 336134339" descr="lALPDgQ9rBnpWsTMrc0CSA_584_173"/>
          <wp:cNvGraphicFramePr/>
          <a:graphic xmlns:a="http://schemas.openxmlformats.org/drawingml/2006/main">
            <a:graphicData uri="http://schemas.openxmlformats.org/drawingml/2006/picture">
              <pic:pic xmlns:pic="http://schemas.openxmlformats.org/drawingml/2006/picture">
                <pic:nvPicPr>
                  <pic:cNvPr id="4097" name="图片 336134339" descr="lALPDgQ9rBnpWsTMrc0CSA_584_173"/>
                  <pic:cNvPicPr/>
                </pic:nvPicPr>
                <pic:blipFill>
                  <a:blip r:embed="rId1" cstate="print"/>
                  <a:srcRect/>
                  <a:stretch>
                    <a:fillRect/>
                  </a:stretch>
                </pic:blipFill>
                <pic:spPr>
                  <a:xfrm>
                    <a:off x="0" y="0"/>
                    <a:ext cx="2478405" cy="415290"/>
                  </a:xfrm>
                  <a:prstGeom prst="rect">
                    <a:avLst/>
                  </a:prstGeom>
                </pic:spPr>
              </pic:pic>
            </a:graphicData>
          </a:graphic>
        </wp:anchor>
      </w:drawing>
    </w:r>
  </w:p>
  <w:p w14:paraId="648773FD">
    <w:pPr>
      <w:pStyle w:val="23"/>
      <w:ind w:right="360"/>
      <w:jc w:val="right"/>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993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6E504">
    <w:pPr>
      <w:pStyle w:val="23"/>
    </w:pPr>
    <w:r>
      <w:rPr>
        <w:rFonts w:hint="eastAsia"/>
        <w:sz w:val="10"/>
        <w:szCs w:val="10"/>
      </w:rPr>
      <w:drawing>
        <wp:inline distT="0" distB="0" distL="0" distR="0">
          <wp:extent cx="2012315" cy="474980"/>
          <wp:effectExtent l="0" t="0" r="0" b="0"/>
          <wp:docPr id="4098" name="图片 1" descr="lALPDgQ9utky90zMyM0C9g_758_200"/>
          <wp:cNvGraphicFramePr/>
          <a:graphic xmlns:a="http://schemas.openxmlformats.org/drawingml/2006/main">
            <a:graphicData uri="http://schemas.openxmlformats.org/drawingml/2006/picture">
              <pic:pic xmlns:pic="http://schemas.openxmlformats.org/drawingml/2006/picture">
                <pic:nvPicPr>
                  <pic:cNvPr id="4098" name="图片 1" descr="lALPDgQ9utky90zMyM0C9g_758_200"/>
                  <pic:cNvPicPr/>
                </pic:nvPicPr>
                <pic:blipFill>
                  <a:blip r:embed="rId1" cstate="print"/>
                  <a:srcRect/>
                  <a:stretch>
                    <a:fillRect/>
                  </a:stretch>
                </pic:blipFill>
                <pic:spPr>
                  <a:xfrm>
                    <a:off x="0" y="0"/>
                    <a:ext cx="2012315" cy="475614"/>
                  </a:xfrm>
                  <a:prstGeom prst="rect">
                    <a:avLst/>
                  </a:prstGeom>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842CE">
    <w:pPr>
      <w:pStyle w:val="23"/>
      <w:jc w:val="both"/>
    </w:pPr>
    <w:r>
      <w:rPr>
        <w:rFonts w:hint="eastAsia"/>
        <w:sz w:val="10"/>
        <w:szCs w:val="10"/>
      </w:rPr>
      <w:drawing>
        <wp:inline distT="0" distB="0" distL="0" distR="0">
          <wp:extent cx="2012315" cy="474980"/>
          <wp:effectExtent l="0" t="0" r="0" b="0"/>
          <wp:docPr id="4099" name="图片 1" descr="lALPDgQ9utky90zMyM0C9g_758_200"/>
          <wp:cNvGraphicFramePr/>
          <a:graphic xmlns:a="http://schemas.openxmlformats.org/drawingml/2006/main">
            <a:graphicData uri="http://schemas.openxmlformats.org/drawingml/2006/picture">
              <pic:pic xmlns:pic="http://schemas.openxmlformats.org/drawingml/2006/picture">
                <pic:nvPicPr>
                  <pic:cNvPr id="4099" name="图片 1" descr="lALPDgQ9utky90zMyM0C9g_758_200"/>
                  <pic:cNvPicPr/>
                </pic:nvPicPr>
                <pic:blipFill>
                  <a:blip r:embed="rId1" cstate="print"/>
                  <a:srcRect/>
                  <a:stretch>
                    <a:fillRect/>
                  </a:stretch>
                </pic:blipFill>
                <pic:spPr>
                  <a:xfrm>
                    <a:off x="0" y="0"/>
                    <a:ext cx="2012315" cy="475614"/>
                  </a:xfrm>
                  <a:prstGeom prst="rect">
                    <a:avLst/>
                  </a:prstGeom>
                  <a:ln>
                    <a:noFill/>
                  </a:ln>
                </pic:spPr>
              </pic:pic>
            </a:graphicData>
          </a:graphic>
        </wp:inline>
      </w:drawing>
    </w:r>
  </w:p>
  <w:p w14:paraId="298B48C3">
    <w:pPr>
      <w:pStyle w:val="23"/>
      <w:ind w:right="360"/>
      <w:jc w:val="right"/>
      <w:rPr>
        <w:sz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ADE39">
    <w:pPr>
      <w:pStyle w:val="23"/>
    </w:pPr>
    <w:r>
      <w:drawing>
        <wp:inline distT="0" distB="0" distL="0" distR="0">
          <wp:extent cx="1674495" cy="441960"/>
          <wp:effectExtent l="0" t="0" r="0" b="0"/>
          <wp:docPr id="4100" name="图片 1" descr="lALPDgQ9utky90zMyM0C9g_758_200"/>
          <wp:cNvGraphicFramePr/>
          <a:graphic xmlns:a="http://schemas.openxmlformats.org/drawingml/2006/main">
            <a:graphicData uri="http://schemas.openxmlformats.org/drawingml/2006/picture">
              <pic:pic xmlns:pic="http://schemas.openxmlformats.org/drawingml/2006/picture">
                <pic:nvPicPr>
                  <pic:cNvPr id="4100" name="图片 1" descr="lALPDgQ9utky90zMyM0C9g_758_200"/>
                  <pic:cNvPicPr/>
                </pic:nvPicPr>
                <pic:blipFill>
                  <a:blip r:embed="rId1" cstate="print"/>
                  <a:srcRect/>
                  <a:stretch>
                    <a:fillRect/>
                  </a:stretch>
                </pic:blipFill>
                <pic:spPr>
                  <a:xfrm>
                    <a:off x="0" y="0"/>
                    <a:ext cx="1675128" cy="441960"/>
                  </a:xfrm>
                  <a:prstGeom prst="rect">
                    <a:avLst/>
                  </a:prstGeom>
                  <a:ln>
                    <a:noFill/>
                  </a:ln>
                </pic:spPr>
              </pic:pic>
            </a:graphicData>
          </a:graphic>
        </wp:inline>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52400"/>
              <wp:effectExtent l="0" t="0" r="0" b="0"/>
              <wp:wrapNone/>
              <wp:docPr id="4101" name="Text Box 1"/>
              <wp:cNvGraphicFramePr/>
              <a:graphic xmlns:a="http://schemas.openxmlformats.org/drawingml/2006/main">
                <a:graphicData uri="http://schemas.microsoft.com/office/word/2010/wordprocessingShape">
                  <wps:wsp>
                    <wps:cNvSpPr/>
                    <wps:spPr>
                      <a:xfrm>
                        <a:off x="0" y="0"/>
                        <a:ext cx="57785" cy="152400"/>
                      </a:xfrm>
                      <a:prstGeom prst="rect">
                        <a:avLst/>
                      </a:prstGeom>
                      <a:noFill/>
                      <a:ln>
                        <a:noFill/>
                      </a:ln>
                      <a:effectLst/>
                    </wps:spPr>
                    <wps:txbx>
                      <w:txbxContent>
                        <w:p w14:paraId="59C050B6">
                          <w:pPr>
                            <w:pStyle w:val="2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upright="1">
                      <a:spAutoFit/>
                    </wps:bodyPr>
                  </wps:wsp>
                </a:graphicData>
              </a:graphic>
            </wp:anchor>
          </w:drawing>
        </mc:Choice>
        <mc:Fallback>
          <w:pict>
            <v:rect id="Text Box 1" o:spid="_x0000_s1026" o:spt="1" style="position:absolute;left:0pt;margin-top:0pt;height:12pt;width:4.55pt;mso-position-horizontal:center;mso-position-horizontal-relative:margin;mso-wrap-style:none;z-index:251661312;mso-width-relative:page;mso-height-relative:page;" filled="f" stroked="f" coordsize="21600,21600" o:gfxdata="UEsDBAoAAAAAAIdO4kAAAAAAAAAAAAAAAAAEAAAAZHJzL1BLAwQUAAAACACHTuJAh3bsUtEAAAAC&#10;AQAADwAAAGRycy9kb3ducmV2LnhtbE2PzU7DMBCE70i8g7WVuFE7EUIlZNNDpUqAuDTlAdx48yPs&#10;dWS7TXl7DBe4rDSa0cy39fbqrLhQiJNnhGKtQBB33kw8IHwc9/cbEDFpNtp6JoQvirBtbm9qXRm/&#10;8IEubRpELuFYaYQxpbmSMnYjOR3XfibOXu+D0ynLMEgT9JLLnZWlUo/S6Ynzwqhn2o3UfbZnhyCP&#10;7X7ZtDYo/1b27/b15dCTR7xbFeoZRKJr+gvDD35GhyYznfyZTRQWIT+Sfm/2ngoQJ4TyQYFsavkf&#10;vfkGUEsDBBQAAAAIAIdO4kBY4y2QzwEAALMDAAAOAAAAZHJzL2Uyb0RvYy54bWytU8Fu2zAMvQ/o&#10;Pwi6N7aDZi2MOMWGoMWAYSvQ7gMUWY4FSKJAKbGzrx8lO2nXXXrYxSYp6pHvkVrfj9awo8KgwTW8&#10;WpScKSeh1W7f8F8vD9d3nIUoXCsMONXwkwr8fnP1aT34Wi2hB9MqZATiQj34hvcx+rooguyVFWEB&#10;Xjk67ACtiOTivmhRDIRuTbEsy8/FANh6BKlCoOh2OuQzIn4EELpOS7UFebDKxQkVlRGRKIVe+8A3&#10;uduuUzL+7LqgIjMNJ6Yxf6kI2bv0LTZrUe9R+F7LuQXxkRbecbJCOyp6gdqKKNgB9T9QVkuEAF1c&#10;SLDFRCQrQiyq8p02z73wKnMhqYO/iB7+H6z8cXxCptuG31RlxZkTlmb+osbIvsLIqiTQ4ENNec/+&#10;CWcvkJnYjh3a9CcebMyini6iJghJwdXt7d2KM0kn1Wp5U2bNi9e7HkN8VGBZMhqONLKspDh+D5Hq&#10;Ueo5JZVy8KCNyWMz7q8AJU4Rlec+307NT+0mK467ceawg/ZE1OklUNUe8DdnA+1Bwx2tPWfmmyOZ&#10;08qcDTwbu7MhnKSLDY+cHTzqfU9IVW4++C+HSJ1mAqnwVI3YJIdmmXnNe5eW5a2fs17f2uY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h3bsUtEAAAACAQAADwAAAAAAAAABACAAAAAiAAAAZHJzL2Rv&#10;d25yZXYueG1sUEsBAhQAFAAAAAgAh07iQFjjLZDPAQAAswMAAA4AAAAAAAAAAQAgAAAAIAEAAGRy&#10;cy9lMm9Eb2MueG1sUEsFBgAAAAAGAAYAWQEAAGEFAAAAAA==&#10;">
              <v:fill on="f" focussize="0,0"/>
              <v:stroke on="f"/>
              <v:imagedata o:title=""/>
              <o:lock v:ext="edit" aspectratio="f"/>
              <v:textbox inset="0mm,0mm,0mm,0mm" style="mso-fit-shape-to-text:t;">
                <w:txbxContent>
                  <w:p w14:paraId="59C050B6">
                    <w:pPr>
                      <w:pStyle w:val="2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E4503">
    <w:pPr>
      <w:pStyle w:val="23"/>
      <w:jc w:val="right"/>
      <w:rPr>
        <w:sz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31CA04FB">
                          <w:pPr>
                            <w:pStyle w:val="23"/>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Yd+2HSAQAAqwMAAA4AAABkcnMvZTJvRG9jLnhtbK1TzY7TMBC+I/EO&#10;lu80abVCVdR0hVQtQkKw0sIDuI7TWPKfZtwm5QHgDThx4c5z9TkYO0kXlsseuCQz4/E3830z3twO&#10;1rCTAtTe1Xy5KDlTTvpGu0PNP3+6e7XmDKNwjTDeqZqfFfLb7csXmz5UauU7bxoFjEAcVn2oeRdj&#10;qIoCZaeswIUPytFh68GKSC4cigZET+jWFKuyfF30HpoAXipEiu7GQz4hwnMAfdtqqXZeHq1ycUQF&#10;ZUQkStjpgHybu21bJePHtkUVmak5MY35S0XI3qdvsd2I6gAidFpOLYjntPCEkxXaUdEr1E5EwY6g&#10;/4GyWoJH38aF9LYYiWRFiMWyfKLNQyeCylxIagxX0fH/wcoPp3tguqn5zbJcceaEpZlfvn+7/Ph1&#10;+fmV3SSF+oAVJT6Ee5g8JDPRHVqw6U9E2JBVPV9VVUNkkoLL9Wq9LklwSWezQzjF4/UAGN8qb1ky&#10;ag40tqymOL3HOKbOKama83faGIqLyri/AoQ5RlSe/XQ79T92nKw47IeJxt43Z6JPr4Gqdh6+cNbT&#10;LtTc0epzZt45kjqtzWzAbOxnQzhJF2s+NozhzTFSd7npVGysQGSTQzPMtKd9S0vyp5+zHt/Y9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Bh37YdIBAACrAwAADgAAAAAAAAABACAAAAAfAQAA&#10;ZHJzL2Uyb0RvYy54bWxQSwUGAAAAAAYABgBZAQAAYwUAAAAA&#10;">
              <v:fill on="f" focussize="0,0"/>
              <v:stroke on="f"/>
              <v:imagedata o:title=""/>
              <o:lock v:ext="edit" aspectratio="f"/>
              <v:textbox inset="0mm,0mm,0mm,0mm" style="mso-fit-shape-to-text:t;">
                <w:txbxContent>
                  <w:p w14:paraId="31CA04FB">
                    <w:pPr>
                      <w:pStyle w:val="23"/>
                    </w:pPr>
                    <w:r>
                      <w:fldChar w:fldCharType="begin"/>
                    </w:r>
                    <w:r>
                      <w:instrText xml:space="preserve"> PAGE  \* MERGEFORMAT </w:instrText>
                    </w:r>
                    <w:r>
                      <w:fldChar w:fldCharType="separate"/>
                    </w:r>
                    <w:r>
                      <w:t>14</w:t>
                    </w:r>
                    <w:r>
                      <w:fldChar w:fldCharType="end"/>
                    </w:r>
                  </w:p>
                </w:txbxContent>
              </v:textbox>
            </v:rect>
          </w:pict>
        </mc:Fallback>
      </mc:AlternateContent>
    </w:r>
  </w:p>
  <w:p w14:paraId="73BF9248">
    <w:r>
      <w:rPr>
        <w:sz w:val="24"/>
      </w:rPr>
      <w:drawing>
        <wp:inline distT="0" distB="0" distL="0" distR="0">
          <wp:extent cx="2012315" cy="360045"/>
          <wp:effectExtent l="0" t="0" r="6985" b="1905"/>
          <wp:docPr id="4103" name="图片 1"/>
          <wp:cNvGraphicFramePr/>
          <a:graphic xmlns:a="http://schemas.openxmlformats.org/drawingml/2006/main">
            <a:graphicData uri="http://schemas.openxmlformats.org/drawingml/2006/picture">
              <pic:pic xmlns:pic="http://schemas.openxmlformats.org/drawingml/2006/picture">
                <pic:nvPicPr>
                  <pic:cNvPr id="4103" name="图片 1"/>
                  <pic:cNvPicPr/>
                </pic:nvPicPr>
                <pic:blipFill>
                  <a:blip r:embed="rId1" cstate="print"/>
                  <a:srcRect l="7495" t="20856" b="17563"/>
                  <a:stretch>
                    <a:fillRect/>
                  </a:stretch>
                </pic:blipFill>
                <pic:spPr>
                  <a:xfrm>
                    <a:off x="0" y="0"/>
                    <a:ext cx="2012315" cy="360045"/>
                  </a:xfrm>
                  <a:prstGeom prst="rect">
                    <a:avLst/>
                  </a:prstGeom>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E82B5">
    <w:pPr>
      <w:pStyle w:val="23"/>
      <w:jc w:val="right"/>
    </w:pPr>
    <w:r>
      <w:drawing>
        <wp:anchor distT="0" distB="0" distL="114300" distR="114300" simplePos="0" relativeHeight="251660288" behindDoc="0" locked="0" layoutInCell="1" allowOverlap="1">
          <wp:simplePos x="0" y="0"/>
          <wp:positionH relativeFrom="page">
            <wp:posOffset>902335</wp:posOffset>
          </wp:positionH>
          <wp:positionV relativeFrom="page">
            <wp:posOffset>9784080</wp:posOffset>
          </wp:positionV>
          <wp:extent cx="2012315" cy="531495"/>
          <wp:effectExtent l="0" t="0" r="6985" b="1905"/>
          <wp:wrapSquare wrapText="bothSides"/>
          <wp:docPr id="4104" name="图片 1"/>
          <wp:cNvGraphicFramePr/>
          <a:graphic xmlns:a="http://schemas.openxmlformats.org/drawingml/2006/main">
            <a:graphicData uri="http://schemas.openxmlformats.org/drawingml/2006/picture">
              <pic:pic xmlns:pic="http://schemas.openxmlformats.org/drawingml/2006/picture">
                <pic:nvPicPr>
                  <pic:cNvPr id="4104" name="图片 1"/>
                  <pic:cNvPicPr/>
                </pic:nvPicPr>
                <pic:blipFill>
                  <a:blip r:embed="rId1" cstate="print"/>
                  <a:srcRect/>
                  <a:stretch>
                    <a:fillRect/>
                  </a:stretch>
                </pic:blipFill>
                <pic:spPr>
                  <a:xfrm>
                    <a:off x="0" y="0"/>
                    <a:ext cx="2012315" cy="531493"/>
                  </a:xfrm>
                  <a:prstGeom prst="rect">
                    <a:avLst/>
                  </a:prstGeom>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37C88B1B">
                          <w:pPr>
                            <w:pStyle w:val="23"/>
                          </w:pPr>
                          <w:r>
                            <w:fldChar w:fldCharType="begin"/>
                          </w:r>
                          <w:r>
                            <w:instrText xml:space="preserve"> PAGE  \* MERGEFORMAT </w:instrText>
                          </w:r>
                          <w:r>
                            <w:fldChar w:fldCharType="separate"/>
                          </w:r>
                          <w:r>
                            <w:t>6</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3tcEXTAQAAqwMAAA4AAABkcnMvZTJvRG9jLnhtbK1TS47bMAzdF+gd&#10;BO0bO+kHgRFnUCCYokDRDjCdAyiyHAvQD6QSOz1Ae4Ouuum+58o5SslOpp3ZzGI2NklRj3yP1Opq&#10;sIYdFKD2rubzWcmZctI32u1qfvf1+tWSM4zCNcJ4p2p+VMiv1i9frPpQqYXvvGkUMAJxWPWh5l2M&#10;oSoKlJ2yAmc+KEeHrQcrIrmwKxoQPaFbUyzK8l3Re2gCeKkQKboZD/mECE8B9G2rpdp4ubfKxREV&#10;lBGRKGGnA/J17rZtlYxf2hZVZKbmxDTmLxUhe5u+xXolqh2I0Gk5tSCe0sIDTlZoR0UvUBsRBduD&#10;fgRltQSPvo0z6W0xEsmKEIt5+UCb204ElbmQ1BguouPzwcrPhxtguqn5m3n5ljMnLM389PPH6def&#10;0+/v7HVSqA9YUeJtuIHJQzIT3aEFm/5EhA1Z1eNFVTVEJik4Xy6Wy5IEl3R2dginuL8eAOMH5S1L&#10;Rs2BxpbVFIdPGMfUc0qq5vy1NobiojLuvwBhjhGVZz/dTv2PHScrDtthorH1zZHo02ugqp2Hb5z1&#10;tAs1d7T6nJmPjqROa3M24Gxsz4Zwki7WfGwYw/t9pO5y06nYWIHIJodmmGlP+5aW5F8/Z92/sf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K3tcEXTAQAAqwMAAA4AAAAAAAAAAQAgAAAAHwEA&#10;AGRycy9lMm9Eb2MueG1sUEsFBgAAAAAGAAYAWQEAAGQFAAAAAA==&#10;">
              <v:fill on="f" focussize="0,0"/>
              <v:stroke on="f"/>
              <v:imagedata o:title=""/>
              <o:lock v:ext="edit" aspectratio="f"/>
              <v:textbox inset="0mm,0mm,0mm,0mm" style="mso-fit-shape-to-text:t;">
                <w:txbxContent>
                  <w:p w14:paraId="37C88B1B">
                    <w:pPr>
                      <w:pStyle w:val="23"/>
                    </w:pPr>
                    <w:r>
                      <w:fldChar w:fldCharType="begin"/>
                    </w:r>
                    <w:r>
                      <w:instrText xml:space="preserve"> PAGE  \* MERGEFORMAT </w:instrText>
                    </w:r>
                    <w:r>
                      <w:fldChar w:fldCharType="separate"/>
                    </w:r>
                    <w:r>
                      <w:t>6</w:t>
                    </w:r>
                    <w:r>
                      <w:fldChar w:fldCharType="end"/>
                    </w:r>
                  </w:p>
                </w:txbxContent>
              </v:textbox>
            </v:rect>
          </w:pict>
        </mc:Fallback>
      </mc:AlternateContent>
    </w:r>
  </w:p>
  <w:p w14:paraId="413A8C2B">
    <w:pPr>
      <w:pStyle w:val="23"/>
    </w:pPr>
  </w:p>
  <w:p w14:paraId="2BBB3C3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76F9">
    <w:pPr>
      <w:pStyle w:val="23"/>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437B6">
    <w:pPr>
      <w:pStyle w:val="23"/>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14:paraId="62292B31">
    <w:pPr>
      <w:pStyle w:val="23"/>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22659">
    <w:pPr>
      <w:pStyle w:val="23"/>
      <w:tabs>
        <w:tab w:val="center" w:pos="4550"/>
        <w:tab w:val="right" w:pos="9221"/>
      </w:tabs>
      <w:wordWrap w:val="0"/>
      <w:jc w:val="both"/>
      <w:rPr>
        <w:rStyle w:val="42"/>
      </w:rPr>
    </w:pPr>
    <w:r>
      <w:rPr>
        <w:sz w:val="1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55033C2D">
                          <w:pPr>
                            <w:pStyle w:val="23"/>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EhcVHTAQAArAMAAA4AAABkcnMvZTJvRG9jLnhtbK1TzY7TMBC+I/EO&#10;lu80aYVWVdR0hVQtQkKw0sIDuI7TWPKfZtwm5QHgDThx4c5z9TkYO0kXlsseuCQz4/E3830z3twO&#10;1rCTAtTe1Xy5KDlTTvpGu0PNP3+6e7XmDKNwjTDeqZqfFfLb7csXmz5UauU7bxoFjEAcVn2oeRdj&#10;qIoCZaeswIUPytFh68GKSC4cigZET+jWFKuyvCl6D00ALxUiRXfjIZ8Q4TmAvm21VDsvj1a5OKKC&#10;MiISJex0QL7N3batkvFj26KKzNScmMb8pSJk79O32G5EdQAROi2nFsRzWnjCyQrtqOgVaieiYEfQ&#10;/0BZLcGjb+NCeluMRLIixGJZPtHmoRNBZS4kNYar6Pj/YOWH0z0w3dT89bK84cwJSzO/fP92+fHr&#10;8vMrW66SRH3AijIfwj1MHpKZ+A4t2PQnJmzIsp6vsqohMknB5Xq1XpekuKSz2SGc4vF6AIxvlbcs&#10;GTUHmluWU5zeYxxT55RUzfk7bQzFRWXcXwHCHCMqD3+6nfofO05WHPbDRGPvmzPxp+dAVTsPXzjr&#10;aRlq7mj3OTPvHGmd9mY2YDb2syGcpIs1HxvG8OYYqbvcdCo2ViCyyaEhZtrTwqUt+dPPWY+PbPs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HEhcVHTAQAArAMAAA4AAAAAAAAAAQAgAAAAHwEA&#10;AGRycy9lMm9Eb2MueG1sUEsFBgAAAAAGAAYAWQEAAGQFAAAAAA==&#10;">
              <v:fill on="f" focussize="0,0"/>
              <v:stroke on="f"/>
              <v:imagedata o:title=""/>
              <o:lock v:ext="edit" aspectratio="f"/>
              <v:textbox inset="0mm,0mm,0mm,0mm" style="mso-fit-shape-to-text:t;">
                <w:txbxContent>
                  <w:p w14:paraId="55033C2D">
                    <w:pPr>
                      <w:pStyle w:val="23"/>
                    </w:pPr>
                    <w:r>
                      <w:fldChar w:fldCharType="begin"/>
                    </w:r>
                    <w:r>
                      <w:instrText xml:space="preserve"> PAGE  \* MERGEFORMAT </w:instrText>
                    </w:r>
                    <w:r>
                      <w:fldChar w:fldCharType="separate"/>
                    </w:r>
                    <w:r>
                      <w:t>30</w:t>
                    </w:r>
                    <w:r>
                      <w:fldChar w:fldCharType="end"/>
                    </w:r>
                  </w:p>
                </w:txbxContent>
              </v:textbox>
            </v:rect>
          </w:pict>
        </mc:Fallback>
      </mc:AlternateContent>
    </w:r>
    <w:r>
      <w:rPr>
        <w:rFonts w:hint="eastAsia"/>
        <w:sz w:val="10"/>
        <w:szCs w:val="10"/>
      </w:rPr>
      <w:drawing>
        <wp:inline distT="0" distB="0" distL="0" distR="0">
          <wp:extent cx="2012315" cy="474980"/>
          <wp:effectExtent l="0" t="0" r="0" b="0"/>
          <wp:docPr id="4107" name="图片 3" descr="lALPDgQ9utky90zMyM0C9g_758_200"/>
          <wp:cNvGraphicFramePr/>
          <a:graphic xmlns:a="http://schemas.openxmlformats.org/drawingml/2006/main">
            <a:graphicData uri="http://schemas.openxmlformats.org/drawingml/2006/picture">
              <pic:pic xmlns:pic="http://schemas.openxmlformats.org/drawingml/2006/picture">
                <pic:nvPicPr>
                  <pic:cNvPr id="4107" name="图片 3" descr="lALPDgQ9utky90zMyM0C9g_758_200"/>
                  <pic:cNvPicPr/>
                </pic:nvPicPr>
                <pic:blipFill>
                  <a:blip r:embed="rId1" cstate="print"/>
                  <a:srcRect/>
                  <a:stretch>
                    <a:fillRect/>
                  </a:stretch>
                </pic:blipFill>
                <pic:spPr>
                  <a:xfrm>
                    <a:off x="0" y="0"/>
                    <a:ext cx="2012315" cy="475614"/>
                  </a:xfrm>
                  <a:prstGeom prst="rect">
                    <a:avLst/>
                  </a:prstGeom>
                  <a:ln>
                    <a:noFill/>
                  </a:ln>
                </pic:spPr>
              </pic:pic>
            </a:graphicData>
          </a:graphic>
        </wp:inline>
      </w:drawing>
    </w:r>
    <w:r>
      <w:rPr>
        <w:rFonts w:hint="eastAsia"/>
        <w:sz w:val="10"/>
        <w:szCs w:val="10"/>
      </w:rPr>
      <w:tab/>
    </w:r>
    <w:r>
      <w:rPr>
        <w:rFonts w:hint="eastAsia"/>
        <w:sz w:val="10"/>
        <w:szCs w:val="10"/>
      </w:rPr>
      <w:tab/>
    </w:r>
    <w:r>
      <w:rPr>
        <w:rFonts w:hint="eastAsia"/>
        <w:sz w:val="10"/>
        <w:szCs w:val="10"/>
      </w:rPr>
      <w:tab/>
    </w:r>
  </w:p>
  <w:p w14:paraId="29F5ACCA">
    <w:pPr>
      <w:pStyle w:val="23"/>
      <w:ind w:right="105"/>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282AF">
    <w:pPr>
      <w:pStyle w:val="23"/>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01E28A66">
                          <w:pPr>
                            <w:pStyle w:val="23"/>
                          </w:pPr>
                          <w:r>
                            <w:fldChar w:fldCharType="begin"/>
                          </w:r>
                          <w:r>
                            <w:instrText xml:space="preserve"> PAGE  \* MERGEFORMAT </w:instrText>
                          </w:r>
                          <w:r>
                            <w:fldChar w:fldCharType="separate"/>
                          </w:r>
                          <w:r>
                            <w:t>26</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pP3+zTAQAArAMAAA4AAABkcnMvZTJvRG9jLnhtbK1TzY7TMBC+I/EO&#10;lu80aUGoipqukKpFSAhWWngA13EaS/7TjNukPAC8AScu3HmuPgdjJ+nCctkDl2RmPP5mvm/Gm5vB&#10;GnZSgNq7mi8XJWfKSd9od6j550+3L9acYRSuEcY7VfOzQn6zff5s04dKrXznTaOAEYjDqg8172IM&#10;VVGg7JQVuPBBOTpsPVgRyYVD0YDoCd2aYlWWr4veQxPAS4VI0d14yCdEeAqgb1st1c7Lo1Uujqig&#10;jIhECTsdkG9zt22rZPzYtqgiMzUnpjF/qQjZ+/QtthtRHUCETsupBfGUFh5xskI7KnqF2oko2BH0&#10;P1BWS/Do27iQ3hYjkawIsViWj7S570RQmQtJjeEqOv4/WPnhdAdMNzV/tSxp8k5Ymvnl+7fLj1+X&#10;n1/Z8mWSqA9YUeZ9uIPJQzIT36EFm/7EhA1Z1vNVVjVEJim4XK/W65IUl3Q2O4RTPFwPgPGt8pYl&#10;o+ZAc8tyitN7jGPqnJKqOX+rjaG4qIz7K0CYY0Tl4U+3U/9jx8mKw36YaOx9cyb+9ByoaufhC2c9&#10;LUPNHe0+Z+adI63T3swGzMZ+NoSTdLHmY8MY3hwjdZebTsXGCkQ2OTTETHtauLQlf/o56+GRbX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PpP3+zTAQAArAMAAA4AAAAAAAAAAQAgAAAAHwEA&#10;AGRycy9lMm9Eb2MueG1sUEsFBgAAAAAGAAYAWQEAAGQFAAAAAA==&#10;">
              <v:fill on="f" focussize="0,0"/>
              <v:stroke on="f"/>
              <v:imagedata o:title=""/>
              <o:lock v:ext="edit" aspectratio="f"/>
              <v:textbox inset="0mm,0mm,0mm,0mm" style="mso-fit-shape-to-text:t;">
                <w:txbxContent>
                  <w:p w14:paraId="01E28A66">
                    <w:pPr>
                      <w:pStyle w:val="23"/>
                    </w:pPr>
                    <w:r>
                      <w:fldChar w:fldCharType="begin"/>
                    </w:r>
                    <w:r>
                      <w:instrText xml:space="preserve"> PAGE  \* MERGEFORMAT </w:instrText>
                    </w:r>
                    <w:r>
                      <w:fldChar w:fldCharType="separate"/>
                    </w:r>
                    <w:r>
                      <w:t>26</w:t>
                    </w:r>
                    <w:r>
                      <w:fldChar w:fldCharType="end"/>
                    </w:r>
                  </w:p>
                </w:txbxContent>
              </v:textbox>
            </v:rect>
          </w:pict>
        </mc:Fallback>
      </mc:AlternateContent>
    </w:r>
  </w:p>
  <w:p w14:paraId="07080C8E">
    <w:pPr>
      <w:pStyle w:val="23"/>
    </w:pPr>
    <w:r>
      <w:rPr>
        <w:rFonts w:hint="eastAsia"/>
        <w:sz w:val="10"/>
        <w:szCs w:val="10"/>
      </w:rPr>
      <w:drawing>
        <wp:inline distT="0" distB="0" distL="0" distR="0">
          <wp:extent cx="2012315" cy="551815"/>
          <wp:effectExtent l="0" t="0" r="0" b="0"/>
          <wp:docPr id="4109" name="图片 2" descr="lALPDgQ9utky90zMyM0C9g_758_200"/>
          <wp:cNvGraphicFramePr/>
          <a:graphic xmlns:a="http://schemas.openxmlformats.org/drawingml/2006/main">
            <a:graphicData uri="http://schemas.openxmlformats.org/drawingml/2006/picture">
              <pic:pic xmlns:pic="http://schemas.openxmlformats.org/drawingml/2006/picture">
                <pic:nvPicPr>
                  <pic:cNvPr id="4109" name="图片 2" descr="lALPDgQ9utky90zMyM0C9g_758_200"/>
                  <pic:cNvPicPr/>
                </pic:nvPicPr>
                <pic:blipFill>
                  <a:blip r:embed="rId1" cstate="print"/>
                  <a:srcRect/>
                  <a:stretch>
                    <a:fillRect/>
                  </a:stretch>
                </pic:blipFill>
                <pic:spPr>
                  <a:xfrm>
                    <a:off x="0" y="0"/>
                    <a:ext cx="2012315" cy="551815"/>
                  </a:xfrm>
                  <a:prstGeom prst="rect">
                    <a:avLst/>
                  </a:prstGeom>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FFA8F">
    <w:pPr>
      <w:pStyle w:val="24"/>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C8A37">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387F">
    <w:pPr>
      <w:pStyle w:val="2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BC079">
    <w:pPr>
      <w:pStyle w:val="24"/>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684B7">
    <w:pPr>
      <w:pStyle w:val="24"/>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364ED">
    <w:pPr>
      <w:pStyle w:val="24"/>
      <w:pBdr>
        <w:bottom w:val="none" w:color="auto" w:sz="0" w:space="1"/>
      </w:pBdr>
      <w:jc w:val="left"/>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lvl>
    <w:lvl w:ilvl="1" w:tentative="0">
      <w:start w:val="1"/>
      <w:numFmt w:val="decimal"/>
      <w:pStyle w:val="136"/>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7C884AC0"/>
    <w:multiLevelType w:val="singleLevel"/>
    <w:tmpl w:val="7C884AC0"/>
    <w:lvl w:ilvl="0" w:tentative="0">
      <w:start w:val="1"/>
      <w:numFmt w:val="decimal"/>
      <w:pStyle w:val="8"/>
      <w:lvlText w:val="%1."/>
      <w:lvlJc w:val="left"/>
      <w:pPr>
        <w:tabs>
          <w:tab w:val="left" w:pos="780"/>
        </w:tabs>
        <w:ind w:left="7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1"/>
  <w:bordersDoNotSurroundFooter w:val="1"/>
  <w:hideSpellingErrors/>
  <w:documentProtection w:enforcement="0"/>
  <w:defaultTabStop w:val="420"/>
  <w:drawingGridHorizontalSpacing w:val="21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CD5"/>
    <w:rsid w:val="00045730"/>
    <w:rsid w:val="0019478C"/>
    <w:rsid w:val="001C3A65"/>
    <w:rsid w:val="001E747F"/>
    <w:rsid w:val="002165FF"/>
    <w:rsid w:val="00253DDA"/>
    <w:rsid w:val="00276F31"/>
    <w:rsid w:val="00287818"/>
    <w:rsid w:val="002D090A"/>
    <w:rsid w:val="003C27B3"/>
    <w:rsid w:val="0045595A"/>
    <w:rsid w:val="00467CD5"/>
    <w:rsid w:val="004B1CD0"/>
    <w:rsid w:val="004B4F27"/>
    <w:rsid w:val="004F768E"/>
    <w:rsid w:val="00597506"/>
    <w:rsid w:val="005E17D2"/>
    <w:rsid w:val="00606370"/>
    <w:rsid w:val="0068050E"/>
    <w:rsid w:val="0076402E"/>
    <w:rsid w:val="007B667E"/>
    <w:rsid w:val="007D2376"/>
    <w:rsid w:val="007D7716"/>
    <w:rsid w:val="008037A8"/>
    <w:rsid w:val="00807A3D"/>
    <w:rsid w:val="00813979"/>
    <w:rsid w:val="008A33C2"/>
    <w:rsid w:val="008C1361"/>
    <w:rsid w:val="009531FB"/>
    <w:rsid w:val="009627AA"/>
    <w:rsid w:val="0096522E"/>
    <w:rsid w:val="009B01BF"/>
    <w:rsid w:val="009F55C8"/>
    <w:rsid w:val="00A1543A"/>
    <w:rsid w:val="00A2000B"/>
    <w:rsid w:val="00A3150A"/>
    <w:rsid w:val="00A973C6"/>
    <w:rsid w:val="00AA15DA"/>
    <w:rsid w:val="00AA1AC5"/>
    <w:rsid w:val="00B52E6E"/>
    <w:rsid w:val="00B72910"/>
    <w:rsid w:val="00B959E9"/>
    <w:rsid w:val="00C12630"/>
    <w:rsid w:val="00C15540"/>
    <w:rsid w:val="00C47474"/>
    <w:rsid w:val="00CA1EF2"/>
    <w:rsid w:val="00CD04C3"/>
    <w:rsid w:val="00D712EF"/>
    <w:rsid w:val="00D838B9"/>
    <w:rsid w:val="00D900EF"/>
    <w:rsid w:val="00DA66EF"/>
    <w:rsid w:val="00E705B4"/>
    <w:rsid w:val="00E925AE"/>
    <w:rsid w:val="00E96A8B"/>
    <w:rsid w:val="00F001D2"/>
    <w:rsid w:val="00FA0A50"/>
    <w:rsid w:val="01053A20"/>
    <w:rsid w:val="020236B3"/>
    <w:rsid w:val="021B5345"/>
    <w:rsid w:val="0238129D"/>
    <w:rsid w:val="037B7842"/>
    <w:rsid w:val="03DA61AD"/>
    <w:rsid w:val="03E855BF"/>
    <w:rsid w:val="03F215FB"/>
    <w:rsid w:val="04357EFE"/>
    <w:rsid w:val="043B4568"/>
    <w:rsid w:val="043C4D20"/>
    <w:rsid w:val="0442423B"/>
    <w:rsid w:val="04A74F2E"/>
    <w:rsid w:val="052F4362"/>
    <w:rsid w:val="053412CC"/>
    <w:rsid w:val="054630E7"/>
    <w:rsid w:val="060F73E0"/>
    <w:rsid w:val="067A5A3E"/>
    <w:rsid w:val="08022D98"/>
    <w:rsid w:val="080A5070"/>
    <w:rsid w:val="08192BD8"/>
    <w:rsid w:val="08754AB0"/>
    <w:rsid w:val="08C93DEA"/>
    <w:rsid w:val="08E763A3"/>
    <w:rsid w:val="08F35D82"/>
    <w:rsid w:val="09780688"/>
    <w:rsid w:val="097818D3"/>
    <w:rsid w:val="09BB17A3"/>
    <w:rsid w:val="09CE3992"/>
    <w:rsid w:val="0A6B075F"/>
    <w:rsid w:val="0AC171E0"/>
    <w:rsid w:val="0B2F51D4"/>
    <w:rsid w:val="0B963118"/>
    <w:rsid w:val="0BE077EC"/>
    <w:rsid w:val="0C063DA0"/>
    <w:rsid w:val="0C2104AE"/>
    <w:rsid w:val="0C35157F"/>
    <w:rsid w:val="0C3A4F52"/>
    <w:rsid w:val="0C3B4EC5"/>
    <w:rsid w:val="0C5C0B7F"/>
    <w:rsid w:val="0C667EFC"/>
    <w:rsid w:val="0C67530F"/>
    <w:rsid w:val="0CAA0BDC"/>
    <w:rsid w:val="0CFB6237"/>
    <w:rsid w:val="0DC91529"/>
    <w:rsid w:val="0E08050B"/>
    <w:rsid w:val="0E2411BD"/>
    <w:rsid w:val="0E296B13"/>
    <w:rsid w:val="0E6179B4"/>
    <w:rsid w:val="0EEF6D6E"/>
    <w:rsid w:val="0FA45DAA"/>
    <w:rsid w:val="1010417D"/>
    <w:rsid w:val="105D227D"/>
    <w:rsid w:val="105F435C"/>
    <w:rsid w:val="10B5741B"/>
    <w:rsid w:val="11131BFB"/>
    <w:rsid w:val="114C0F78"/>
    <w:rsid w:val="11AA66DD"/>
    <w:rsid w:val="11DD12D5"/>
    <w:rsid w:val="11E4054C"/>
    <w:rsid w:val="11FF2D78"/>
    <w:rsid w:val="12E47379"/>
    <w:rsid w:val="13C503F1"/>
    <w:rsid w:val="13F01786"/>
    <w:rsid w:val="159D7523"/>
    <w:rsid w:val="15A63D52"/>
    <w:rsid w:val="15B57894"/>
    <w:rsid w:val="163820E7"/>
    <w:rsid w:val="16E23159"/>
    <w:rsid w:val="16F1262A"/>
    <w:rsid w:val="17101F77"/>
    <w:rsid w:val="171C1230"/>
    <w:rsid w:val="178C3CF3"/>
    <w:rsid w:val="17DA06C3"/>
    <w:rsid w:val="181124FF"/>
    <w:rsid w:val="181E4467"/>
    <w:rsid w:val="188728BE"/>
    <w:rsid w:val="189574CF"/>
    <w:rsid w:val="18963A50"/>
    <w:rsid w:val="18E56567"/>
    <w:rsid w:val="19963E79"/>
    <w:rsid w:val="19DA4663"/>
    <w:rsid w:val="1A161641"/>
    <w:rsid w:val="1A1A7E43"/>
    <w:rsid w:val="1A40766C"/>
    <w:rsid w:val="1B6F52C1"/>
    <w:rsid w:val="1B82144F"/>
    <w:rsid w:val="1B8611B7"/>
    <w:rsid w:val="1C2127BC"/>
    <w:rsid w:val="1CBA2D65"/>
    <w:rsid w:val="1D7274E7"/>
    <w:rsid w:val="1DF5D426"/>
    <w:rsid w:val="1E0452A4"/>
    <w:rsid w:val="1ECE4BF1"/>
    <w:rsid w:val="1F6130C4"/>
    <w:rsid w:val="1F6416FC"/>
    <w:rsid w:val="1FB1462D"/>
    <w:rsid w:val="1FE30229"/>
    <w:rsid w:val="1FE73DD7"/>
    <w:rsid w:val="20854DF8"/>
    <w:rsid w:val="20D61B3B"/>
    <w:rsid w:val="2107653F"/>
    <w:rsid w:val="21BB2196"/>
    <w:rsid w:val="21C67EC2"/>
    <w:rsid w:val="21C90F0C"/>
    <w:rsid w:val="22105521"/>
    <w:rsid w:val="226338A3"/>
    <w:rsid w:val="22B85789"/>
    <w:rsid w:val="22EB2325"/>
    <w:rsid w:val="22EC2D5A"/>
    <w:rsid w:val="238F7436"/>
    <w:rsid w:val="24314C44"/>
    <w:rsid w:val="243618EE"/>
    <w:rsid w:val="24556BB4"/>
    <w:rsid w:val="24723745"/>
    <w:rsid w:val="2472601F"/>
    <w:rsid w:val="247E3D04"/>
    <w:rsid w:val="25F3488C"/>
    <w:rsid w:val="263B5546"/>
    <w:rsid w:val="26B2554A"/>
    <w:rsid w:val="26E31ED0"/>
    <w:rsid w:val="271E02E1"/>
    <w:rsid w:val="27562167"/>
    <w:rsid w:val="278D2A35"/>
    <w:rsid w:val="27D16C17"/>
    <w:rsid w:val="27E72913"/>
    <w:rsid w:val="281178FD"/>
    <w:rsid w:val="2837609C"/>
    <w:rsid w:val="288602EB"/>
    <w:rsid w:val="28BE5CD7"/>
    <w:rsid w:val="28C0369D"/>
    <w:rsid w:val="28F440FD"/>
    <w:rsid w:val="296751BD"/>
    <w:rsid w:val="2A294AF6"/>
    <w:rsid w:val="2A2F5BDC"/>
    <w:rsid w:val="2A3968E9"/>
    <w:rsid w:val="2A981361"/>
    <w:rsid w:val="2AB51923"/>
    <w:rsid w:val="2ADC3FB3"/>
    <w:rsid w:val="2AEB57AE"/>
    <w:rsid w:val="2BA028D6"/>
    <w:rsid w:val="2C515E9F"/>
    <w:rsid w:val="2C804E5B"/>
    <w:rsid w:val="2CAB0320"/>
    <w:rsid w:val="2CD53414"/>
    <w:rsid w:val="2CE23ECA"/>
    <w:rsid w:val="2DF655F8"/>
    <w:rsid w:val="2E8157DC"/>
    <w:rsid w:val="2EB306F1"/>
    <w:rsid w:val="2EE1537F"/>
    <w:rsid w:val="2EEF7335"/>
    <w:rsid w:val="2F0D7AED"/>
    <w:rsid w:val="2F3344FC"/>
    <w:rsid w:val="2F3FC049"/>
    <w:rsid w:val="2F661C98"/>
    <w:rsid w:val="2FFD3B87"/>
    <w:rsid w:val="30B23169"/>
    <w:rsid w:val="31326383"/>
    <w:rsid w:val="31630C52"/>
    <w:rsid w:val="317EA5EB"/>
    <w:rsid w:val="31BB5B87"/>
    <w:rsid w:val="31CF9827"/>
    <w:rsid w:val="325E6FE6"/>
    <w:rsid w:val="32C16B58"/>
    <w:rsid w:val="33951C13"/>
    <w:rsid w:val="34131C67"/>
    <w:rsid w:val="34643F89"/>
    <w:rsid w:val="34966A7D"/>
    <w:rsid w:val="34A3533D"/>
    <w:rsid w:val="35183827"/>
    <w:rsid w:val="351D764A"/>
    <w:rsid w:val="35724A7A"/>
    <w:rsid w:val="359E5AA6"/>
    <w:rsid w:val="35AA3249"/>
    <w:rsid w:val="35CD254D"/>
    <w:rsid w:val="35FE0428"/>
    <w:rsid w:val="36187619"/>
    <w:rsid w:val="362C1502"/>
    <w:rsid w:val="37B76A1F"/>
    <w:rsid w:val="37D25205"/>
    <w:rsid w:val="3818737D"/>
    <w:rsid w:val="38265B19"/>
    <w:rsid w:val="38A85ED0"/>
    <w:rsid w:val="38D658A4"/>
    <w:rsid w:val="39112E4E"/>
    <w:rsid w:val="394C2442"/>
    <w:rsid w:val="39D52E80"/>
    <w:rsid w:val="39E912CC"/>
    <w:rsid w:val="39F6649D"/>
    <w:rsid w:val="3A0D75B5"/>
    <w:rsid w:val="3AED086C"/>
    <w:rsid w:val="3B90753D"/>
    <w:rsid w:val="3C20271F"/>
    <w:rsid w:val="3C2712CD"/>
    <w:rsid w:val="3C335C3C"/>
    <w:rsid w:val="3C963BEF"/>
    <w:rsid w:val="3CF67395"/>
    <w:rsid w:val="3E8A6D71"/>
    <w:rsid w:val="3EBC5E80"/>
    <w:rsid w:val="3ECB3277"/>
    <w:rsid w:val="3F042033"/>
    <w:rsid w:val="3F8A6BE3"/>
    <w:rsid w:val="3FB355E8"/>
    <w:rsid w:val="3FD526E9"/>
    <w:rsid w:val="3FDF2E14"/>
    <w:rsid w:val="3FFFE02B"/>
    <w:rsid w:val="40493AC0"/>
    <w:rsid w:val="40BA19C5"/>
    <w:rsid w:val="40C272A2"/>
    <w:rsid w:val="40E04D62"/>
    <w:rsid w:val="4130272C"/>
    <w:rsid w:val="41DF581D"/>
    <w:rsid w:val="42D85300"/>
    <w:rsid w:val="43101333"/>
    <w:rsid w:val="431932ED"/>
    <w:rsid w:val="43CA1EC6"/>
    <w:rsid w:val="43D52599"/>
    <w:rsid w:val="44052137"/>
    <w:rsid w:val="44EF5C71"/>
    <w:rsid w:val="44FF5255"/>
    <w:rsid w:val="458675B8"/>
    <w:rsid w:val="45BC2EC3"/>
    <w:rsid w:val="45C801D1"/>
    <w:rsid w:val="45CE2A39"/>
    <w:rsid w:val="46256F3D"/>
    <w:rsid w:val="46C2744B"/>
    <w:rsid w:val="46F777FE"/>
    <w:rsid w:val="471215AD"/>
    <w:rsid w:val="471D6AB9"/>
    <w:rsid w:val="47EB5900"/>
    <w:rsid w:val="48313978"/>
    <w:rsid w:val="486755EB"/>
    <w:rsid w:val="48692468"/>
    <w:rsid w:val="48E02235"/>
    <w:rsid w:val="49DB4B03"/>
    <w:rsid w:val="4A280DAA"/>
    <w:rsid w:val="4A317CE5"/>
    <w:rsid w:val="4A7D101B"/>
    <w:rsid w:val="4B5D82D0"/>
    <w:rsid w:val="4B710D76"/>
    <w:rsid w:val="4B8502EA"/>
    <w:rsid w:val="4CC5050B"/>
    <w:rsid w:val="4D7319F5"/>
    <w:rsid w:val="4D9D1AA8"/>
    <w:rsid w:val="4E3C5FBE"/>
    <w:rsid w:val="4E45017D"/>
    <w:rsid w:val="4E464AB8"/>
    <w:rsid w:val="4F223EAD"/>
    <w:rsid w:val="4F247D92"/>
    <w:rsid w:val="4F4F7743"/>
    <w:rsid w:val="4FD22C08"/>
    <w:rsid w:val="4FE81A7A"/>
    <w:rsid w:val="4FEB08D6"/>
    <w:rsid w:val="4FED4628"/>
    <w:rsid w:val="4FFCFD95"/>
    <w:rsid w:val="503D3E76"/>
    <w:rsid w:val="50A4580C"/>
    <w:rsid w:val="50CA16E4"/>
    <w:rsid w:val="51252682"/>
    <w:rsid w:val="51895D8A"/>
    <w:rsid w:val="51A97665"/>
    <w:rsid w:val="51B81635"/>
    <w:rsid w:val="5290598D"/>
    <w:rsid w:val="52AB4E82"/>
    <w:rsid w:val="53B33EC2"/>
    <w:rsid w:val="54571F23"/>
    <w:rsid w:val="55066EAC"/>
    <w:rsid w:val="553B508E"/>
    <w:rsid w:val="55E743BC"/>
    <w:rsid w:val="561B7A15"/>
    <w:rsid w:val="568A7075"/>
    <w:rsid w:val="56C14911"/>
    <w:rsid w:val="575021B2"/>
    <w:rsid w:val="57FB18AC"/>
    <w:rsid w:val="58165944"/>
    <w:rsid w:val="584E40D2"/>
    <w:rsid w:val="58632020"/>
    <w:rsid w:val="5866766D"/>
    <w:rsid w:val="59D54416"/>
    <w:rsid w:val="5A052100"/>
    <w:rsid w:val="5A2F7A8C"/>
    <w:rsid w:val="5A504EEB"/>
    <w:rsid w:val="5A9A53AC"/>
    <w:rsid w:val="5AAF3178"/>
    <w:rsid w:val="5AE65BE9"/>
    <w:rsid w:val="5B371F31"/>
    <w:rsid w:val="5B6267E4"/>
    <w:rsid w:val="5B633076"/>
    <w:rsid w:val="5BA51AB7"/>
    <w:rsid w:val="5C1318BA"/>
    <w:rsid w:val="5C1B251D"/>
    <w:rsid w:val="5C6D04C1"/>
    <w:rsid w:val="5CC8283F"/>
    <w:rsid w:val="5CCB0E02"/>
    <w:rsid w:val="5D516444"/>
    <w:rsid w:val="5D9256DB"/>
    <w:rsid w:val="5D9B28C9"/>
    <w:rsid w:val="5E067F49"/>
    <w:rsid w:val="5E6D0466"/>
    <w:rsid w:val="5E8C5954"/>
    <w:rsid w:val="5E8D0056"/>
    <w:rsid w:val="5E97371F"/>
    <w:rsid w:val="5E9B238B"/>
    <w:rsid w:val="5EA75E50"/>
    <w:rsid w:val="5EFEDA90"/>
    <w:rsid w:val="5F7E79BC"/>
    <w:rsid w:val="5F93686E"/>
    <w:rsid w:val="5FD240FB"/>
    <w:rsid w:val="5FFF431C"/>
    <w:rsid w:val="60557755"/>
    <w:rsid w:val="61597A89"/>
    <w:rsid w:val="61720E31"/>
    <w:rsid w:val="61AA76B6"/>
    <w:rsid w:val="61F7F09B"/>
    <w:rsid w:val="62516671"/>
    <w:rsid w:val="62844CBB"/>
    <w:rsid w:val="62A82932"/>
    <w:rsid w:val="62FA3729"/>
    <w:rsid w:val="64745AB2"/>
    <w:rsid w:val="64ED1D67"/>
    <w:rsid w:val="651F1068"/>
    <w:rsid w:val="6524560E"/>
    <w:rsid w:val="6528717A"/>
    <w:rsid w:val="65362594"/>
    <w:rsid w:val="65AA7D2D"/>
    <w:rsid w:val="669A6B84"/>
    <w:rsid w:val="66B923A4"/>
    <w:rsid w:val="676E592F"/>
    <w:rsid w:val="67780823"/>
    <w:rsid w:val="67DE632C"/>
    <w:rsid w:val="68567975"/>
    <w:rsid w:val="68F02563"/>
    <w:rsid w:val="69A2427D"/>
    <w:rsid w:val="6A123258"/>
    <w:rsid w:val="6A4319E6"/>
    <w:rsid w:val="6A9E1EE5"/>
    <w:rsid w:val="6ACA21F7"/>
    <w:rsid w:val="6AF87CA8"/>
    <w:rsid w:val="6B1D2A3D"/>
    <w:rsid w:val="6BC46E17"/>
    <w:rsid w:val="6BF45249"/>
    <w:rsid w:val="6BFE5AAD"/>
    <w:rsid w:val="6C2B2308"/>
    <w:rsid w:val="6CA314A9"/>
    <w:rsid w:val="6CBA34C7"/>
    <w:rsid w:val="6CBE4C11"/>
    <w:rsid w:val="6D127383"/>
    <w:rsid w:val="6D635128"/>
    <w:rsid w:val="6EA25686"/>
    <w:rsid w:val="6F4D7F47"/>
    <w:rsid w:val="6F773AB6"/>
    <w:rsid w:val="6F946601"/>
    <w:rsid w:val="6FF112F7"/>
    <w:rsid w:val="6FFC2F93"/>
    <w:rsid w:val="6FFF21C0"/>
    <w:rsid w:val="702A73D2"/>
    <w:rsid w:val="70373BEC"/>
    <w:rsid w:val="703A2BF0"/>
    <w:rsid w:val="705A22EC"/>
    <w:rsid w:val="70C5071D"/>
    <w:rsid w:val="71325911"/>
    <w:rsid w:val="714178D1"/>
    <w:rsid w:val="716475B5"/>
    <w:rsid w:val="71E60790"/>
    <w:rsid w:val="72554EAB"/>
    <w:rsid w:val="725650C6"/>
    <w:rsid w:val="728C7188"/>
    <w:rsid w:val="72983E98"/>
    <w:rsid w:val="72E43211"/>
    <w:rsid w:val="73997FAC"/>
    <w:rsid w:val="73A96E71"/>
    <w:rsid w:val="73CA0F4C"/>
    <w:rsid w:val="74145D6E"/>
    <w:rsid w:val="745708AE"/>
    <w:rsid w:val="75294742"/>
    <w:rsid w:val="75925734"/>
    <w:rsid w:val="76123578"/>
    <w:rsid w:val="765B6076"/>
    <w:rsid w:val="76910C99"/>
    <w:rsid w:val="77140553"/>
    <w:rsid w:val="775E48FD"/>
    <w:rsid w:val="776B3F01"/>
    <w:rsid w:val="777234E1"/>
    <w:rsid w:val="779A42B5"/>
    <w:rsid w:val="77FB247E"/>
    <w:rsid w:val="788F3C1F"/>
    <w:rsid w:val="79022643"/>
    <w:rsid w:val="7A6D4F91"/>
    <w:rsid w:val="7AD06634"/>
    <w:rsid w:val="7ADD4D02"/>
    <w:rsid w:val="7AF423E3"/>
    <w:rsid w:val="7B4E2325"/>
    <w:rsid w:val="7BDB20B9"/>
    <w:rsid w:val="7BEB83E5"/>
    <w:rsid w:val="7C145B38"/>
    <w:rsid w:val="7C306B69"/>
    <w:rsid w:val="7CB11429"/>
    <w:rsid w:val="7CD0140A"/>
    <w:rsid w:val="7CEE0113"/>
    <w:rsid w:val="7D472D1A"/>
    <w:rsid w:val="7D7704CB"/>
    <w:rsid w:val="7D805A6A"/>
    <w:rsid w:val="7DA02887"/>
    <w:rsid w:val="7DF06594"/>
    <w:rsid w:val="7E4E0307"/>
    <w:rsid w:val="7E4F632A"/>
    <w:rsid w:val="7EC82D8D"/>
    <w:rsid w:val="7EC87CC2"/>
    <w:rsid w:val="7EFA44D8"/>
    <w:rsid w:val="7EFF0F0E"/>
    <w:rsid w:val="7F687C3F"/>
    <w:rsid w:val="7FA04963"/>
    <w:rsid w:val="7FA90620"/>
    <w:rsid w:val="7FFD6985"/>
    <w:rsid w:val="7FFFB0C0"/>
    <w:rsid w:val="BEA60D79"/>
    <w:rsid w:val="BEED368E"/>
    <w:rsid w:val="CDE31323"/>
    <w:rsid w:val="D6BFD94B"/>
    <w:rsid w:val="D7474597"/>
    <w:rsid w:val="D7D9201B"/>
    <w:rsid w:val="DB5E663B"/>
    <w:rsid w:val="DF5F0753"/>
    <w:rsid w:val="E7DFF7B5"/>
    <w:rsid w:val="E9D7600C"/>
    <w:rsid w:val="EADE894C"/>
    <w:rsid w:val="EBFD53E9"/>
    <w:rsid w:val="ECD15CED"/>
    <w:rsid w:val="F73E1B28"/>
    <w:rsid w:val="F7D576D1"/>
    <w:rsid w:val="FBAF59E8"/>
    <w:rsid w:val="FFADB718"/>
    <w:rsid w:val="FFE74976"/>
    <w:rsid w:val="FFF81B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6"/>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4">
    <w:name w:val="heading 2"/>
    <w:basedOn w:val="1"/>
    <w:next w:val="1"/>
    <w:link w:val="74"/>
    <w:qFormat/>
    <w:uiPriority w:val="0"/>
    <w:pPr>
      <w:keepNext/>
      <w:keepLines/>
      <w:spacing w:before="120" w:after="120" w:line="360" w:lineRule="auto"/>
      <w:jc w:val="center"/>
      <w:outlineLvl w:val="1"/>
    </w:pPr>
    <w:rPr>
      <w:rFonts w:ascii="Arial" w:hAnsi="Arial"/>
      <w:b/>
      <w:bCs/>
      <w:sz w:val="28"/>
      <w:szCs w:val="32"/>
    </w:rPr>
  </w:style>
  <w:style w:type="paragraph" w:styleId="5">
    <w:name w:val="heading 3"/>
    <w:basedOn w:val="1"/>
    <w:next w:val="1"/>
    <w:link w:val="57"/>
    <w:qFormat/>
    <w:uiPriority w:val="0"/>
    <w:pPr>
      <w:keepNext/>
      <w:keepLines/>
      <w:spacing w:before="120" w:after="120" w:line="360" w:lineRule="auto"/>
      <w:ind w:firstLine="200" w:firstLineChars="200"/>
      <w:jc w:val="center"/>
      <w:outlineLvl w:val="2"/>
    </w:pPr>
    <w:rPr>
      <w:rFonts w:ascii="宋体"/>
      <w:b/>
      <w:bCs/>
      <w:sz w:val="24"/>
      <w:szCs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7">
    <w:name w:val="heading 5"/>
    <w:basedOn w:val="8"/>
    <w:next w:val="9"/>
    <w:qFormat/>
    <w:uiPriority w:val="0"/>
    <w:pPr>
      <w:keepNext/>
      <w:keepLines/>
      <w:tabs>
        <w:tab w:val="left" w:pos="780"/>
      </w:tabs>
      <w:adjustRightInd w:val="0"/>
      <w:spacing w:before="280" w:after="290" w:line="376" w:lineRule="atLeast"/>
      <w:textAlignment w:val="baseline"/>
      <w:outlineLvl w:val="4"/>
    </w:pPr>
    <w:rPr>
      <w:b/>
      <w:kern w:val="0"/>
      <w:sz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adjustRightInd w:val="0"/>
      <w:spacing w:line="360" w:lineRule="auto"/>
    </w:pPr>
    <w:rPr>
      <w:rFonts w:ascii="宋体"/>
      <w:bCs/>
      <w:iCs/>
      <w:color w:val="FF00FF"/>
      <w:kern w:val="44"/>
      <w:sz w:val="28"/>
      <w:szCs w:val="20"/>
    </w:rPr>
  </w:style>
  <w:style w:type="paragraph" w:styleId="8">
    <w:name w:val="List Number 2"/>
    <w:basedOn w:val="1"/>
    <w:qFormat/>
    <w:uiPriority w:val="0"/>
    <w:pPr>
      <w:numPr>
        <w:ilvl w:val="0"/>
        <w:numId w:val="1"/>
      </w:numPr>
    </w:p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0">
    <w:name w:val="toc 7"/>
    <w:basedOn w:val="1"/>
    <w:next w:val="1"/>
    <w:qFormat/>
    <w:uiPriority w:val="0"/>
    <w:pPr>
      <w:ind w:left="1200" w:leftChars="1200"/>
    </w:pPr>
  </w:style>
  <w:style w:type="paragraph" w:styleId="11">
    <w:name w:val="table of authorities"/>
    <w:basedOn w:val="1"/>
    <w:next w:val="1"/>
    <w:qFormat/>
    <w:uiPriority w:val="99"/>
    <w:pPr>
      <w:ind w:left="420" w:leftChars="200"/>
    </w:pPr>
  </w:style>
  <w:style w:type="paragraph" w:styleId="12">
    <w:name w:val="Normal Indent"/>
    <w:basedOn w:val="1"/>
    <w:next w:val="1"/>
    <w:link w:val="73"/>
    <w:qFormat/>
    <w:uiPriority w:val="0"/>
    <w:pPr>
      <w:tabs>
        <w:tab w:val="left" w:pos="750"/>
      </w:tabs>
      <w:spacing w:beforeLines="50" w:line="300" w:lineRule="auto"/>
      <w:jc w:val="left"/>
    </w:pPr>
    <w:rPr>
      <w:rFonts w:ascii="宋体"/>
      <w:szCs w:val="20"/>
    </w:rPr>
  </w:style>
  <w:style w:type="paragraph" w:styleId="13">
    <w:name w:val="Document Map"/>
    <w:basedOn w:val="1"/>
    <w:qFormat/>
    <w:uiPriority w:val="0"/>
    <w:pPr>
      <w:shd w:val="clear" w:color="auto" w:fill="000080"/>
    </w:pPr>
  </w:style>
  <w:style w:type="paragraph" w:styleId="14">
    <w:name w:val="annotation text"/>
    <w:basedOn w:val="1"/>
    <w:link w:val="58"/>
    <w:qFormat/>
    <w:uiPriority w:val="0"/>
    <w:pPr>
      <w:jc w:val="left"/>
    </w:pPr>
    <w:rPr>
      <w:szCs w:val="20"/>
    </w:rPr>
  </w:style>
  <w:style w:type="paragraph" w:styleId="15">
    <w:name w:val="Body Text Indent"/>
    <w:basedOn w:val="1"/>
    <w:link w:val="59"/>
    <w:qFormat/>
    <w:uiPriority w:val="99"/>
    <w:pPr>
      <w:ind w:firstLine="200" w:firstLineChars="200"/>
      <w:jc w:val="left"/>
    </w:pPr>
    <w:rPr>
      <w:rFonts w:ascii="仿宋_GB2312" w:eastAsia="仿宋_GB2312"/>
      <w:sz w:val="28"/>
    </w:rPr>
  </w:style>
  <w:style w:type="paragraph" w:styleId="16">
    <w:name w:val="toc 5"/>
    <w:basedOn w:val="1"/>
    <w:next w:val="1"/>
    <w:qFormat/>
    <w:uiPriority w:val="0"/>
    <w:pPr>
      <w:ind w:left="800" w:leftChars="800"/>
    </w:pPr>
  </w:style>
  <w:style w:type="paragraph" w:styleId="17">
    <w:name w:val="toc 3"/>
    <w:basedOn w:val="1"/>
    <w:next w:val="1"/>
    <w:qFormat/>
    <w:uiPriority w:val="39"/>
    <w:pPr>
      <w:tabs>
        <w:tab w:val="right" w:leader="dot" w:pos="9515"/>
      </w:tabs>
      <w:ind w:left="400" w:leftChars="400"/>
    </w:pPr>
  </w:style>
  <w:style w:type="paragraph" w:styleId="18">
    <w:name w:val="Plain Text"/>
    <w:basedOn w:val="1"/>
    <w:next w:val="1"/>
    <w:link w:val="71"/>
    <w:qFormat/>
    <w:uiPriority w:val="99"/>
    <w:pPr>
      <w:autoSpaceDE w:val="0"/>
      <w:autoSpaceDN w:val="0"/>
      <w:adjustRightInd w:val="0"/>
      <w:jc w:val="left"/>
    </w:pPr>
    <w:rPr>
      <w:rFonts w:ascii="宋体"/>
      <w:kern w:val="0"/>
      <w:sz w:val="20"/>
    </w:rPr>
  </w:style>
  <w:style w:type="paragraph" w:styleId="19">
    <w:name w:val="toc 8"/>
    <w:basedOn w:val="1"/>
    <w:next w:val="1"/>
    <w:qFormat/>
    <w:uiPriority w:val="0"/>
    <w:pPr>
      <w:ind w:left="1400" w:leftChars="1400"/>
    </w:pPr>
  </w:style>
  <w:style w:type="paragraph" w:styleId="20">
    <w:name w:val="Date"/>
    <w:basedOn w:val="1"/>
    <w:next w:val="1"/>
    <w:qFormat/>
    <w:uiPriority w:val="0"/>
    <w:pPr>
      <w:ind w:left="2500" w:leftChars="2500"/>
    </w:pPr>
    <w:rPr>
      <w:rFonts w:ascii="仿宋_GB2312" w:eastAsia="仿宋_GB2312"/>
      <w:sz w:val="28"/>
    </w:rPr>
  </w:style>
  <w:style w:type="paragraph" w:styleId="21">
    <w:name w:val="Body Text Indent 2"/>
    <w:basedOn w:val="1"/>
    <w:link w:val="70"/>
    <w:qFormat/>
    <w:uiPriority w:val="99"/>
    <w:pPr>
      <w:spacing w:line="60" w:lineRule="auto"/>
      <w:ind w:firstLine="128" w:firstLineChars="128"/>
    </w:pPr>
    <w:rPr>
      <w:rFonts w:ascii="仿宋_GB2312" w:eastAsia="仿宋_GB2312"/>
      <w:sz w:val="28"/>
    </w:rPr>
  </w:style>
  <w:style w:type="paragraph" w:styleId="22">
    <w:name w:val="Balloon Text"/>
    <w:basedOn w:val="1"/>
    <w:qFormat/>
    <w:uiPriority w:val="0"/>
    <w:rPr>
      <w:sz w:val="18"/>
      <w:szCs w:val="18"/>
    </w:rPr>
  </w:style>
  <w:style w:type="paragraph" w:styleId="23">
    <w:name w:val="footer"/>
    <w:basedOn w:val="1"/>
    <w:link w:val="65"/>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4">
    <w:name w:val="header"/>
    <w:basedOn w:val="1"/>
    <w:link w:val="54"/>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5">
    <w:name w:val="toc 1"/>
    <w:basedOn w:val="1"/>
    <w:next w:val="1"/>
    <w:qFormat/>
    <w:uiPriority w:val="39"/>
  </w:style>
  <w:style w:type="paragraph" w:styleId="26">
    <w:name w:val="toc 4"/>
    <w:basedOn w:val="1"/>
    <w:next w:val="1"/>
    <w:qFormat/>
    <w:uiPriority w:val="0"/>
    <w:pPr>
      <w:ind w:left="600" w:leftChars="600"/>
    </w:pPr>
  </w:style>
  <w:style w:type="paragraph" w:styleId="27">
    <w:name w:val="footnote text"/>
    <w:basedOn w:val="1"/>
    <w:qFormat/>
    <w:uiPriority w:val="0"/>
    <w:pPr>
      <w:snapToGrid w:val="0"/>
      <w:jc w:val="left"/>
    </w:pPr>
    <w:rPr>
      <w:sz w:val="18"/>
      <w:szCs w:val="18"/>
    </w:rPr>
  </w:style>
  <w:style w:type="paragraph" w:styleId="28">
    <w:name w:val="toc 6"/>
    <w:basedOn w:val="1"/>
    <w:next w:val="1"/>
    <w:qFormat/>
    <w:uiPriority w:val="0"/>
    <w:pPr>
      <w:ind w:left="1000" w:leftChars="1000"/>
    </w:pPr>
  </w:style>
  <w:style w:type="paragraph" w:styleId="29">
    <w:name w:val="Body Text Indent 3"/>
    <w:basedOn w:val="1"/>
    <w:qFormat/>
    <w:uiPriority w:val="0"/>
    <w:pPr>
      <w:spacing w:line="360" w:lineRule="auto"/>
      <w:ind w:firstLine="192" w:firstLineChars="192"/>
    </w:pPr>
    <w:rPr>
      <w:rFonts w:ascii="仿宋_GB2312" w:eastAsia="仿宋_GB2312"/>
      <w:color w:val="3366FF"/>
      <w:sz w:val="24"/>
    </w:rPr>
  </w:style>
  <w:style w:type="paragraph" w:styleId="30">
    <w:name w:val="toc 2"/>
    <w:basedOn w:val="1"/>
    <w:next w:val="1"/>
    <w:qFormat/>
    <w:uiPriority w:val="39"/>
    <w:pPr>
      <w:ind w:left="60" w:firstLine="300"/>
    </w:pPr>
  </w:style>
  <w:style w:type="paragraph" w:styleId="31">
    <w:name w:val="toc 9"/>
    <w:basedOn w:val="1"/>
    <w:next w:val="1"/>
    <w:qFormat/>
    <w:uiPriority w:val="0"/>
    <w:pPr>
      <w:ind w:left="1600" w:leftChars="1600"/>
    </w:pPr>
  </w:style>
  <w:style w:type="paragraph" w:styleId="32">
    <w:name w:val="Body Text 2"/>
    <w:basedOn w:val="1"/>
    <w:qFormat/>
    <w:uiPriority w:val="0"/>
    <w:rPr>
      <w:rFonts w:ascii="宋体"/>
      <w:sz w:val="13"/>
      <w:szCs w:val="20"/>
    </w:rPr>
  </w:style>
  <w:style w:type="paragraph" w:styleId="3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4">
    <w:name w:val="Title"/>
    <w:basedOn w:val="1"/>
    <w:next w:val="1"/>
    <w:qFormat/>
    <w:uiPriority w:val="0"/>
    <w:pPr>
      <w:spacing w:before="240" w:after="60"/>
      <w:jc w:val="center"/>
      <w:outlineLvl w:val="0"/>
    </w:pPr>
    <w:rPr>
      <w:rFonts w:ascii="Cambria" w:hAnsi="Cambria"/>
      <w:b/>
      <w:bCs/>
      <w:sz w:val="32"/>
      <w:szCs w:val="32"/>
    </w:rPr>
  </w:style>
  <w:style w:type="paragraph" w:styleId="35">
    <w:name w:val="annotation subject"/>
    <w:basedOn w:val="14"/>
    <w:next w:val="14"/>
    <w:link w:val="133"/>
    <w:qFormat/>
    <w:uiPriority w:val="0"/>
    <w:rPr>
      <w:b/>
      <w:bCs/>
      <w:szCs w:val="24"/>
    </w:rPr>
  </w:style>
  <w:style w:type="paragraph" w:styleId="36">
    <w:name w:val="Body Text First Indent"/>
    <w:basedOn w:val="2"/>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37">
    <w:name w:val="Body Text First Indent 2"/>
    <w:basedOn w:val="15"/>
    <w:link w:val="72"/>
    <w:qFormat/>
    <w:uiPriority w:val="99"/>
    <w:pPr>
      <w:spacing w:after="120"/>
      <w:ind w:left="420" w:leftChars="200" w:firstLine="420"/>
      <w:jc w:val="both"/>
    </w:pPr>
    <w:rPr>
      <w:rFonts w:ascii="Calibri" w:hAnsi="Calibri"/>
      <w:sz w:val="21"/>
      <w:szCs w:val="22"/>
    </w:rPr>
  </w:style>
  <w:style w:type="table" w:styleId="39">
    <w:name w:val="Table Grid"/>
    <w:basedOn w:val="3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page number"/>
    <w:basedOn w:val="40"/>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basedOn w:val="40"/>
    <w:qFormat/>
    <w:uiPriority w:val="99"/>
    <w:rPr>
      <w:color w:val="0000FF"/>
      <w:u w:val="single"/>
    </w:rPr>
  </w:style>
  <w:style w:type="character" w:styleId="46">
    <w:name w:val="annotation reference"/>
    <w:qFormat/>
    <w:uiPriority w:val="0"/>
    <w:rPr>
      <w:sz w:val="21"/>
      <w:szCs w:val="21"/>
    </w:rPr>
  </w:style>
  <w:style w:type="paragraph" w:customStyle="1" w:styleId="47">
    <w:name w:val="样式1"/>
    <w:basedOn w:val="4"/>
    <w:qFormat/>
    <w:uiPriority w:val="0"/>
    <w:pPr>
      <w:adjustRightInd w:val="0"/>
      <w:spacing w:before="240" w:after="0" w:line="416" w:lineRule="atLeast"/>
      <w:jc w:val="left"/>
      <w:textAlignment w:val="baseline"/>
    </w:pPr>
    <w:rPr>
      <w:bCs w:val="0"/>
      <w:color w:val="000000"/>
      <w:kern w:val="0"/>
      <w:sz w:val="30"/>
      <w:szCs w:val="20"/>
    </w:rPr>
  </w:style>
  <w:style w:type="paragraph" w:customStyle="1" w:styleId="48">
    <w:name w:val="样式 正文文字缩进 + 小四 首行缩进:  2 字符"/>
    <w:basedOn w:val="1"/>
    <w:qFormat/>
    <w:uiPriority w:val="0"/>
    <w:pPr>
      <w:spacing w:line="600" w:lineRule="exact"/>
      <w:jc w:val="center"/>
    </w:pPr>
    <w:rPr>
      <w:rFonts w:ascii="宋体"/>
      <w:b/>
      <w:u w:val="double"/>
    </w:rPr>
  </w:style>
  <w:style w:type="paragraph" w:customStyle="1" w:styleId="49">
    <w:name w:val="BodyText1I"/>
    <w:basedOn w:val="50"/>
    <w:qFormat/>
    <w:uiPriority w:val="0"/>
    <w:pPr>
      <w:ind w:firstLine="420" w:firstLineChars="100"/>
    </w:pPr>
  </w:style>
  <w:style w:type="paragraph" w:customStyle="1" w:styleId="50">
    <w:name w:val="BodyText"/>
    <w:basedOn w:val="1"/>
    <w:next w:val="51"/>
    <w:qFormat/>
    <w:uiPriority w:val="0"/>
    <w:pPr>
      <w:spacing w:line="480" w:lineRule="auto"/>
      <w:jc w:val="center"/>
    </w:pPr>
    <w:rPr>
      <w:rFonts w:ascii="宋体"/>
      <w:b/>
      <w:sz w:val="72"/>
    </w:rPr>
  </w:style>
  <w:style w:type="paragraph" w:customStyle="1" w:styleId="51">
    <w:name w:val="UserStyle_0"/>
    <w:next w:val="1"/>
    <w:qFormat/>
    <w:uiPriority w:val="0"/>
    <w:pPr>
      <w:ind w:left="850"/>
      <w:jc w:val="both"/>
      <w:textAlignment w:val="baseline"/>
    </w:pPr>
    <w:rPr>
      <w:rFonts w:ascii="Times New Roman" w:hAnsi="Times New Roman" w:eastAsia="宋体" w:cs="宋体"/>
      <w:sz w:val="21"/>
      <w:lang w:val="en-US" w:eastAsia="zh-CN" w:bidi="ar-SA"/>
    </w:rPr>
  </w:style>
  <w:style w:type="character" w:customStyle="1" w:styleId="52">
    <w:name w:val="普通文字 Char Char1"/>
    <w:qFormat/>
    <w:uiPriority w:val="0"/>
    <w:rPr>
      <w:rFonts w:ascii="宋体" w:eastAsia="宋体"/>
      <w:kern w:val="2"/>
      <w:sz w:val="21"/>
      <w:lang w:val="en-US" w:eastAsia="zh-CN" w:bidi="ar-SA"/>
    </w:rPr>
  </w:style>
  <w:style w:type="character" w:customStyle="1" w:styleId="53">
    <w:name w:val="grame"/>
    <w:basedOn w:val="40"/>
    <w:qFormat/>
    <w:uiPriority w:val="0"/>
  </w:style>
  <w:style w:type="character" w:customStyle="1" w:styleId="54">
    <w:name w:val="页眉 Char"/>
    <w:link w:val="24"/>
    <w:qFormat/>
    <w:uiPriority w:val="99"/>
    <w:rPr>
      <w:sz w:val="18"/>
    </w:rPr>
  </w:style>
  <w:style w:type="character" w:customStyle="1" w:styleId="55">
    <w:name w:val="样式3 Char Char"/>
    <w:link w:val="56"/>
    <w:qFormat/>
    <w:uiPriority w:val="0"/>
    <w:rPr>
      <w:sz w:val="28"/>
    </w:rPr>
  </w:style>
  <w:style w:type="paragraph" w:customStyle="1" w:styleId="56">
    <w:name w:val="样式3"/>
    <w:basedOn w:val="1"/>
    <w:link w:val="55"/>
    <w:qFormat/>
    <w:uiPriority w:val="0"/>
    <w:pPr>
      <w:spacing w:line="360" w:lineRule="auto"/>
      <w:ind w:left="520" w:leftChars="1" w:hanging="518" w:hangingChars="185"/>
    </w:pPr>
    <w:rPr>
      <w:kern w:val="0"/>
      <w:sz w:val="28"/>
      <w:szCs w:val="20"/>
    </w:rPr>
  </w:style>
  <w:style w:type="character" w:customStyle="1" w:styleId="57">
    <w:name w:val="标题 3 Char"/>
    <w:link w:val="5"/>
    <w:qFormat/>
    <w:uiPriority w:val="0"/>
    <w:rPr>
      <w:rFonts w:ascii="宋体"/>
      <w:b/>
      <w:bCs/>
      <w:kern w:val="2"/>
      <w:sz w:val="24"/>
      <w:szCs w:val="32"/>
    </w:rPr>
  </w:style>
  <w:style w:type="character" w:customStyle="1" w:styleId="58">
    <w:name w:val="批注文字 Char"/>
    <w:link w:val="14"/>
    <w:qFormat/>
    <w:uiPriority w:val="0"/>
    <w:rPr>
      <w:kern w:val="2"/>
      <w:sz w:val="21"/>
    </w:rPr>
  </w:style>
  <w:style w:type="character" w:customStyle="1" w:styleId="59">
    <w:name w:val="正文文本缩进 Char1"/>
    <w:link w:val="15"/>
    <w:qFormat/>
    <w:uiPriority w:val="99"/>
    <w:rPr>
      <w:rFonts w:ascii="仿宋_GB2312" w:eastAsia="仿宋_GB2312"/>
      <w:kern w:val="2"/>
      <w:sz w:val="28"/>
      <w:szCs w:val="24"/>
    </w:rPr>
  </w:style>
  <w:style w:type="character" w:customStyle="1" w:styleId="60">
    <w:name w:val="招标 Char Char"/>
    <w:link w:val="61"/>
    <w:qFormat/>
    <w:uiPriority w:val="0"/>
    <w:rPr>
      <w:rFonts w:hAnsi="宋体"/>
      <w:sz w:val="24"/>
      <w:szCs w:val="24"/>
    </w:rPr>
  </w:style>
  <w:style w:type="paragraph" w:customStyle="1" w:styleId="61">
    <w:name w:val="招标"/>
    <w:basedOn w:val="18"/>
    <w:link w:val="60"/>
    <w:qFormat/>
    <w:uiPriority w:val="0"/>
    <w:pPr>
      <w:autoSpaceDE/>
      <w:autoSpaceDN/>
      <w:adjustRightInd/>
      <w:spacing w:line="276" w:lineRule="auto"/>
      <w:jc w:val="both"/>
    </w:pPr>
    <w:rPr>
      <w:rFonts w:ascii="Times New Roman" w:hAnsi="宋体"/>
      <w:sz w:val="24"/>
    </w:rPr>
  </w:style>
  <w:style w:type="character" w:customStyle="1" w:styleId="62">
    <w:name w:val="Body Char"/>
    <w:link w:val="63"/>
    <w:qFormat/>
    <w:uiPriority w:val="0"/>
    <w:rPr>
      <w:rFonts w:ascii="Arial" w:hAnsi="Arial"/>
      <w:sz w:val="32"/>
      <w:szCs w:val="21"/>
      <w:lang w:eastAsia="en-US"/>
    </w:rPr>
  </w:style>
  <w:style w:type="paragraph" w:customStyle="1" w:styleId="63">
    <w:name w:val="Body"/>
    <w:basedOn w:val="1"/>
    <w:link w:val="62"/>
    <w:qFormat/>
    <w:uiPriority w:val="0"/>
    <w:pPr>
      <w:widowControl/>
      <w:spacing w:before="120" w:line="288" w:lineRule="auto"/>
      <w:ind w:left="-283" w:leftChars="-135" w:firstLine="567" w:firstLineChars="270"/>
    </w:pPr>
    <w:rPr>
      <w:rFonts w:ascii="Arial" w:hAnsi="Arial"/>
      <w:kern w:val="0"/>
      <w:sz w:val="32"/>
      <w:szCs w:val="21"/>
      <w:lang w:eastAsia="en-US"/>
    </w:rPr>
  </w:style>
  <w:style w:type="character" w:customStyle="1" w:styleId="64">
    <w:name w:val="纯文本 Char1"/>
    <w:qFormat/>
    <w:uiPriority w:val="0"/>
    <w:rPr>
      <w:rFonts w:ascii="宋体"/>
      <w:szCs w:val="24"/>
    </w:rPr>
  </w:style>
  <w:style w:type="character" w:customStyle="1" w:styleId="65">
    <w:name w:val="页脚 Char"/>
    <w:link w:val="23"/>
    <w:qFormat/>
    <w:uiPriority w:val="99"/>
    <w:rPr>
      <w:sz w:val="18"/>
    </w:rPr>
  </w:style>
  <w:style w:type="character" w:customStyle="1" w:styleId="66">
    <w:name w:val="列出段落 Char"/>
    <w:link w:val="67"/>
    <w:qFormat/>
    <w:uiPriority w:val="0"/>
    <w:rPr>
      <w:kern w:val="2"/>
      <w:sz w:val="21"/>
      <w:szCs w:val="24"/>
    </w:rPr>
  </w:style>
  <w:style w:type="paragraph" w:customStyle="1" w:styleId="67">
    <w:name w:val="列出段落2"/>
    <w:basedOn w:val="1"/>
    <w:link w:val="66"/>
    <w:qFormat/>
    <w:uiPriority w:val="0"/>
    <w:pPr>
      <w:ind w:firstLine="420" w:firstLineChars="200"/>
    </w:pPr>
  </w:style>
  <w:style w:type="character" w:customStyle="1" w:styleId="68">
    <w:name w:val="页码1"/>
    <w:qFormat/>
    <w:uiPriority w:val="0"/>
    <w:rPr>
      <w:rFonts w:cs="Times New Roman"/>
      <w:sz w:val="20"/>
    </w:rPr>
  </w:style>
  <w:style w:type="character" w:customStyle="1" w:styleId="69">
    <w:name w:val="标题 1 字符"/>
    <w:qFormat/>
    <w:uiPriority w:val="0"/>
    <w:rPr>
      <w:rFonts w:ascii="仿宋_GB2312" w:eastAsia="仿宋_GB2312"/>
      <w:b/>
      <w:bCs/>
      <w:color w:val="000000"/>
      <w:sz w:val="28"/>
    </w:rPr>
  </w:style>
  <w:style w:type="character" w:customStyle="1" w:styleId="70">
    <w:name w:val="正文文本缩进 2 Char"/>
    <w:link w:val="21"/>
    <w:qFormat/>
    <w:uiPriority w:val="99"/>
    <w:rPr>
      <w:rFonts w:ascii="仿宋_GB2312" w:eastAsia="仿宋_GB2312"/>
      <w:kern w:val="2"/>
      <w:sz w:val="28"/>
      <w:szCs w:val="24"/>
    </w:rPr>
  </w:style>
  <w:style w:type="character" w:customStyle="1" w:styleId="71">
    <w:name w:val="纯文本 Char"/>
    <w:link w:val="18"/>
    <w:qFormat/>
    <w:uiPriority w:val="99"/>
    <w:rPr>
      <w:rFonts w:ascii="宋体"/>
      <w:szCs w:val="24"/>
    </w:rPr>
  </w:style>
  <w:style w:type="character" w:customStyle="1" w:styleId="72">
    <w:name w:val="正文首行缩进 2 Char"/>
    <w:link w:val="37"/>
    <w:qFormat/>
    <w:uiPriority w:val="99"/>
    <w:rPr>
      <w:rFonts w:ascii="Calibri" w:hAnsi="Calibri" w:eastAsia="仿宋_GB2312"/>
      <w:kern w:val="2"/>
      <w:sz w:val="21"/>
      <w:szCs w:val="22"/>
    </w:rPr>
  </w:style>
  <w:style w:type="character" w:customStyle="1" w:styleId="73">
    <w:name w:val="正文缩进 Char"/>
    <w:link w:val="12"/>
    <w:qFormat/>
    <w:uiPriority w:val="0"/>
    <w:rPr>
      <w:rFonts w:ascii="宋体"/>
      <w:kern w:val="2"/>
      <w:sz w:val="21"/>
    </w:rPr>
  </w:style>
  <w:style w:type="character" w:customStyle="1" w:styleId="74">
    <w:name w:val="标题 2 Char"/>
    <w:link w:val="4"/>
    <w:qFormat/>
    <w:uiPriority w:val="0"/>
    <w:rPr>
      <w:rFonts w:ascii="Arial" w:hAnsi="Arial"/>
      <w:b/>
      <w:bCs/>
      <w:kern w:val="2"/>
      <w:sz w:val="28"/>
      <w:szCs w:val="32"/>
    </w:rPr>
  </w:style>
  <w:style w:type="character" w:customStyle="1" w:styleId="75">
    <w:name w:val="正文文本缩进 Char"/>
    <w:qFormat/>
    <w:uiPriority w:val="99"/>
    <w:rPr>
      <w:kern w:val="2"/>
      <w:sz w:val="21"/>
      <w:szCs w:val="22"/>
    </w:rPr>
  </w:style>
  <w:style w:type="character" w:customStyle="1" w:styleId="76">
    <w:name w:val="para1"/>
    <w:qFormat/>
    <w:uiPriority w:val="0"/>
    <w:rPr>
      <w:rFonts w:hint="default" w:ascii="Arial" w:hAnsi="Arial" w:cs="Arial"/>
      <w:sz w:val="18"/>
      <w:szCs w:val="18"/>
    </w:rPr>
  </w:style>
  <w:style w:type="paragraph" w:customStyle="1" w:styleId="77">
    <w:name w:val="Char Char Char Char Char Char Char Char Char Char"/>
    <w:basedOn w:val="1"/>
    <w:qFormat/>
    <w:uiPriority w:val="0"/>
    <w:rPr>
      <w:rFonts w:ascii="Tahoma" w:hAnsi="Tahoma"/>
      <w:sz w:val="24"/>
      <w:szCs w:val="20"/>
    </w:rPr>
  </w:style>
  <w:style w:type="paragraph" w:customStyle="1" w:styleId="78">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79">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80">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81">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2">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3">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84">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6">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8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88">
    <w:name w:val="采购申报表正文"/>
    <w:basedOn w:val="1"/>
    <w:qFormat/>
    <w:uiPriority w:val="0"/>
    <w:rPr>
      <w:rFonts w:ascii="仿宋_GB2312" w:eastAsia="仿宋_GB2312"/>
      <w:szCs w:val="28"/>
    </w:rPr>
  </w:style>
  <w:style w:type="paragraph" w:customStyle="1" w:styleId="8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0">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9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92">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93">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95">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6">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7">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98">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99">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0">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01">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2">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3">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4">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05">
    <w:name w:val="font8"/>
    <w:basedOn w:val="1"/>
    <w:qFormat/>
    <w:uiPriority w:val="0"/>
    <w:pPr>
      <w:widowControl/>
      <w:spacing w:before="100" w:beforeAutospacing="1" w:after="100" w:afterAutospacing="1"/>
      <w:jc w:val="left"/>
    </w:pPr>
    <w:rPr>
      <w:kern w:val="0"/>
      <w:sz w:val="20"/>
      <w:szCs w:val="20"/>
    </w:rPr>
  </w:style>
  <w:style w:type="paragraph" w:customStyle="1" w:styleId="106">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07">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08">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9">
    <w:name w:val="正文文本缩进1"/>
    <w:basedOn w:val="1"/>
    <w:qFormat/>
    <w:uiPriority w:val="0"/>
    <w:pPr>
      <w:spacing w:line="360" w:lineRule="auto"/>
      <w:ind w:left="1"/>
    </w:pPr>
    <w:rPr>
      <w:kern w:val="0"/>
      <w:sz w:val="20"/>
      <w:szCs w:val="20"/>
    </w:rPr>
  </w:style>
  <w:style w:type="paragraph" w:customStyle="1" w:styleId="110">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1">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2">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13">
    <w:name w:val="xl23"/>
    <w:next w:val="9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1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15">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6">
    <w:name w:val="列出段落1"/>
    <w:basedOn w:val="1"/>
    <w:qFormat/>
    <w:uiPriority w:val="0"/>
    <w:pPr>
      <w:ind w:firstLine="420" w:firstLineChars="200"/>
    </w:pPr>
  </w:style>
  <w:style w:type="paragraph" w:customStyle="1" w:styleId="117">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8">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19">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1">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22">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23">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4">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5">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6">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7">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8">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9">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30">
    <w:name w:val="Char"/>
    <w:basedOn w:val="1"/>
    <w:qFormat/>
    <w:uiPriority w:val="0"/>
  </w:style>
  <w:style w:type="paragraph" w:customStyle="1" w:styleId="131">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styleId="132">
    <w:name w:val="List Paragraph"/>
    <w:basedOn w:val="1"/>
    <w:qFormat/>
    <w:uiPriority w:val="34"/>
    <w:pPr>
      <w:ind w:firstLine="420" w:firstLineChars="200"/>
    </w:pPr>
    <w:rPr>
      <w:rFonts w:ascii="Calibri" w:hAnsi="Calibri"/>
      <w:szCs w:val="22"/>
    </w:rPr>
  </w:style>
  <w:style w:type="character" w:customStyle="1" w:styleId="133">
    <w:name w:val="批注主题 Char"/>
    <w:link w:val="35"/>
    <w:qFormat/>
    <w:uiPriority w:val="0"/>
    <w:rPr>
      <w:b/>
      <w:bCs/>
      <w:kern w:val="2"/>
      <w:sz w:val="21"/>
      <w:szCs w:val="24"/>
    </w:rPr>
  </w:style>
  <w:style w:type="paragraph" w:customStyle="1" w:styleId="134">
    <w:name w:val="修订1"/>
    <w:qFormat/>
    <w:uiPriority w:val="99"/>
    <w:rPr>
      <w:rFonts w:ascii="Times New Roman" w:hAnsi="Times New Roman" w:eastAsia="宋体" w:cs="Times New Roman"/>
      <w:kern w:val="2"/>
      <w:sz w:val="21"/>
      <w:szCs w:val="24"/>
      <w:lang w:val="en-US" w:eastAsia="zh-CN" w:bidi="ar-SA"/>
    </w:rPr>
  </w:style>
  <w:style w:type="paragraph" w:customStyle="1" w:styleId="135">
    <w:name w:val="_Style 3"/>
    <w:basedOn w:val="1"/>
    <w:qFormat/>
    <w:uiPriority w:val="34"/>
    <w:pPr>
      <w:ind w:firstLine="420" w:firstLineChars="200"/>
    </w:pPr>
  </w:style>
  <w:style w:type="paragraph" w:customStyle="1" w:styleId="136">
    <w:name w:val="MM Topic 2"/>
    <w:basedOn w:val="4"/>
    <w:qFormat/>
    <w:uiPriority w:val="0"/>
    <w:pPr>
      <w:numPr>
        <w:ilvl w:val="1"/>
        <w:numId w:val="2"/>
      </w:numPr>
    </w:pPr>
    <w:rPr>
      <w:kern w:val="0"/>
    </w:rPr>
  </w:style>
  <w:style w:type="paragraph" w:customStyle="1" w:styleId="137">
    <w:name w:val="样式 四号2"/>
    <w:qFormat/>
    <w:uiPriority w:val="0"/>
    <w:pPr>
      <w:widowControl w:val="0"/>
      <w:spacing w:line="480" w:lineRule="exact"/>
      <w:jc w:val="both"/>
    </w:pPr>
    <w:rPr>
      <w:rFonts w:ascii="Calibri" w:hAnsi="Calibri" w:eastAsia="仿宋_GB2312" w:cs="Times New Roman"/>
      <w:kern w:val="2"/>
      <w:sz w:val="28"/>
      <w:szCs w:val="22"/>
      <w:lang w:val="en-US" w:eastAsia="zh-CN" w:bidi="ar-SA"/>
    </w:rPr>
  </w:style>
  <w:style w:type="character" w:customStyle="1" w:styleId="138">
    <w:name w:val="font111"/>
    <w:basedOn w:val="40"/>
    <w:qFormat/>
    <w:uiPriority w:val="0"/>
    <w:rPr>
      <w:rFonts w:ascii="仿宋" w:hAnsi="仿宋" w:eastAsia="仿宋" w:cs="仿宋"/>
      <w:color w:val="000000"/>
      <w:sz w:val="28"/>
      <w:szCs w:val="28"/>
      <w:u w:val="none"/>
    </w:rPr>
  </w:style>
  <w:style w:type="character" w:customStyle="1" w:styleId="139">
    <w:name w:val="font21"/>
    <w:basedOn w:val="40"/>
    <w:qFormat/>
    <w:uiPriority w:val="0"/>
    <w:rPr>
      <w:rFonts w:hint="eastAsia" w:ascii="仿宋" w:hAnsi="仿宋" w:eastAsia="仿宋" w:cs="仿宋"/>
      <w:color w:val="000000"/>
      <w:sz w:val="24"/>
      <w:szCs w:val="24"/>
      <w:u w:val="none"/>
    </w:rPr>
  </w:style>
  <w:style w:type="paragraph" w:customStyle="1" w:styleId="140">
    <w:name w:val="WPSOffice手动目录 1"/>
    <w:qFormat/>
    <w:uiPriority w:val="0"/>
    <w:rPr>
      <w:rFonts w:ascii="Times New Roman" w:hAnsi="Times New Roman" w:eastAsia="宋体" w:cs="Times New Roman"/>
      <w:lang w:val="en-US" w:eastAsia="zh-CN" w:bidi="ar-SA"/>
    </w:rPr>
  </w:style>
  <w:style w:type="paragraph" w:customStyle="1" w:styleId="14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42">
    <w:name w:val="Default"/>
    <w:next w:val="143"/>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3">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44">
    <w:name w:val="文档结构图1"/>
    <w:basedOn w:val="1"/>
    <w:qFormat/>
    <w:uiPriority w:val="0"/>
  </w:style>
  <w:style w:type="paragraph" w:customStyle="1" w:styleId="145">
    <w:name w:val="列出段落11"/>
    <w:basedOn w:val="1"/>
    <w:qFormat/>
    <w:uiPriority w:val="34"/>
    <w:pPr>
      <w:ind w:firstLine="420" w:firstLineChars="200"/>
    </w:pPr>
  </w:style>
  <w:style w:type="character" w:customStyle="1" w:styleId="146">
    <w:name w:val="NormalCharacter"/>
    <w:qFormat/>
    <w:uiPriority w:val="0"/>
  </w:style>
  <w:style w:type="paragraph" w:customStyle="1" w:styleId="147">
    <w:name w:val="小四"/>
    <w:basedOn w:val="1"/>
    <w:qFormat/>
    <w:uiPriority w:val="0"/>
    <w:pPr>
      <w:spacing w:line="360" w:lineRule="auto"/>
      <w:ind w:firstLine="480" w:firstLineChars="200"/>
    </w:pPr>
    <w:rPr>
      <w:rFonts w:cs="宋体"/>
      <w:sz w:val="24"/>
    </w:rPr>
  </w:style>
  <w:style w:type="paragraph" w:customStyle="1" w:styleId="148">
    <w:name w:val="CM44"/>
    <w:basedOn w:val="142"/>
    <w:next w:val="142"/>
    <w:qFormat/>
    <w:uiPriority w:val="0"/>
    <w:pPr>
      <w:spacing w:line="440" w:lineRule="atLeast"/>
    </w:pPr>
    <w:rPr>
      <w:color w:val="auto"/>
    </w:rPr>
  </w:style>
  <w:style w:type="paragraph" w:customStyle="1" w:styleId="149">
    <w:name w:val="CM92"/>
    <w:basedOn w:val="142"/>
    <w:next w:val="142"/>
    <w:qFormat/>
    <w:uiPriority w:val="0"/>
    <w:pPr>
      <w:spacing w:after="530"/>
    </w:pPr>
    <w:rPr>
      <w:color w:val="auto"/>
    </w:rPr>
  </w:style>
  <w:style w:type="paragraph" w:customStyle="1" w:styleId="150">
    <w:name w:val="CM91"/>
    <w:basedOn w:val="142"/>
    <w:next w:val="142"/>
    <w:qFormat/>
    <w:uiPriority w:val="0"/>
    <w:pPr>
      <w:spacing w:after="160"/>
    </w:pPr>
    <w:rPr>
      <w:color w:val="auto"/>
    </w:rPr>
  </w:style>
  <w:style w:type="paragraph" w:customStyle="1" w:styleId="151">
    <w:name w:val="CM49"/>
    <w:basedOn w:val="142"/>
    <w:next w:val="142"/>
    <w:qFormat/>
    <w:uiPriority w:val="0"/>
    <w:pPr>
      <w:spacing w:line="440" w:lineRule="atLeast"/>
    </w:pPr>
    <w:rPr>
      <w:color w:val="auto"/>
    </w:rPr>
  </w:style>
  <w:style w:type="paragraph" w:customStyle="1" w:styleId="152">
    <w:name w:val="CM99"/>
    <w:basedOn w:val="142"/>
    <w:next w:val="142"/>
    <w:qFormat/>
    <w:uiPriority w:val="0"/>
    <w:pPr>
      <w:spacing w:after="443"/>
    </w:pPr>
    <w:rPr>
      <w:color w:val="auto"/>
    </w:rPr>
  </w:style>
  <w:style w:type="paragraph" w:customStyle="1" w:styleId="153">
    <w:name w:val="Table Text"/>
    <w:basedOn w:val="1"/>
    <w:qFormat/>
    <w:uiPriority w:val="0"/>
    <w:rPr>
      <w:rFonts w:ascii="宋体" w:hAnsi="宋体" w:cs="宋体"/>
      <w:sz w:val="20"/>
      <w:szCs w:val="20"/>
      <w:lang w:eastAsia="en-US"/>
    </w:rPr>
  </w:style>
  <w:style w:type="character" w:customStyle="1" w:styleId="154">
    <w:name w:val="font101"/>
    <w:qFormat/>
    <w:uiPriority w:val="0"/>
    <w:rPr>
      <w:rFonts w:hint="eastAsia" w:ascii="宋体" w:hAnsi="宋体" w:eastAsia="宋体" w:cs="宋体"/>
      <w:color w:val="000000"/>
      <w:sz w:val="22"/>
      <w:szCs w:val="22"/>
      <w:u w:val="none"/>
    </w:rPr>
  </w:style>
  <w:style w:type="paragraph" w:customStyle="1" w:styleId="155">
    <w:name w:val="正文1"/>
    <w:basedOn w:val="1"/>
    <w:qFormat/>
    <w:uiPriority w:val="0"/>
    <w:pPr>
      <w:widowControl/>
      <w:topLinePunct/>
      <w:spacing w:beforeLines="50" w:afterLines="50" w:line="300" w:lineRule="auto"/>
      <w:ind w:left="420"/>
    </w:pPr>
  </w:style>
  <w:style w:type="character" w:customStyle="1" w:styleId="156">
    <w:name w:val="标题 1 Char"/>
    <w:basedOn w:val="40"/>
    <w:link w:val="3"/>
    <w:qFormat/>
    <w:uiPriority w:val="0"/>
    <w:rPr>
      <w:rFonts w:ascii="宋体" w:hAnsi="Times New Roman" w:eastAsia="宋体" w:cs="Times New Roman"/>
      <w:b/>
      <w:bCs/>
      <w:snapToGrid w:val="0"/>
      <w:kern w:val="44"/>
      <w:sz w:val="44"/>
      <w:szCs w:val="44"/>
    </w:rPr>
  </w:style>
  <w:style w:type="paragraph" w:customStyle="1" w:styleId="15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58">
    <w:name w:val="paragraph"/>
    <w:basedOn w:val="1"/>
    <w:qFormat/>
    <w:uiPriority w:val="0"/>
    <w:pPr>
      <w:widowControl/>
      <w:spacing w:before="100" w:beforeAutospacing="1" w:after="100" w:afterAutospacing="1"/>
      <w:jc w:val="left"/>
    </w:pPr>
    <w:rPr>
      <w:rFonts w:ascii="宋体" w:hAnsi="宋体" w:cs="宋体"/>
      <w:kern w:val="0"/>
      <w:sz w:val="24"/>
    </w:rPr>
  </w:style>
  <w:style w:type="character" w:customStyle="1" w:styleId="159">
    <w:name w:val="不明显参考1"/>
    <w:qFormat/>
    <w:uiPriority w:val="31"/>
    <w:rPr>
      <w:smallCaps/>
      <w:color w:val="5A5A5A"/>
    </w:rPr>
  </w:style>
  <w:style w:type="paragraph" w:customStyle="1" w:styleId="160">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61">
    <w:name w:val="石墨文档正文"/>
    <w:qFormat/>
    <w:uiPriority w:val="0"/>
    <w:rPr>
      <w:rFonts w:ascii="Arial Unicode MS" w:hAnsi="Arial Unicode MS" w:eastAsia="MicrosoftYaHei" w:cs="Arial Unicode MS"/>
      <w:sz w:val="22"/>
      <w:szCs w:val="22"/>
      <w:lang w:val="en-US" w:eastAsia="zh-CN" w:bidi="ar-SA"/>
    </w:rPr>
  </w:style>
  <w:style w:type="paragraph" w:customStyle="1" w:styleId="162">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63">
    <w:name w:val="修订5"/>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1" Type="http://schemas.openxmlformats.org/officeDocument/2006/relationships/image" Target="media/image5.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239CAC-9312-4B59-917B-D4FB18B3D72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156</Words>
  <Characters>185</Characters>
  <Lines>365</Lines>
  <Paragraphs>102</Paragraphs>
  <TotalTime>13</TotalTime>
  <ScaleCrop>false</ScaleCrop>
  <LinksUpToDate>false</LinksUpToDate>
  <CharactersWithSpaces>205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z</dc:creator>
  <cp:lastModifiedBy>Hoe</cp:lastModifiedBy>
  <cp:lastPrinted>2016-10-11T11:15:00Z</cp:lastPrinted>
  <dcterms:modified xsi:type="dcterms:W3CDTF">2026-06-23T01:00:28Z</dcterms:modified>
  <dc:title>询价书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B6BB6DE03F52441B939B8B2C4BBEBCE0_13</vt:lpwstr>
  </property>
  <property fmtid="{D5CDD505-2E9C-101B-9397-08002B2CF9AE}" pid="4" name="KSOTemplateDocerSaveRecord">
    <vt:lpwstr>eyJoZGlkIjoiYWVhODZkYmI1Nzc2NDIwNzYyODBjNmI3MmRjNjgxYzEiLCJ1c2VySWQiOiIyNDI2OTI5MjEifQ==</vt:lpwstr>
  </property>
</Properties>
</file>