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仿宋_GBK" w:hAnsi="方正仿宋_GBK" w:eastAsia="方正仿宋_GBK" w:cs="方正仿宋_GBK"/>
          <w:b/>
          <w:color w:val="000000" w:themeColor="text1"/>
          <w:sz w:val="44"/>
          <w:szCs w:val="44"/>
          <w:highlight w:val="none"/>
          <w:lang w:eastAsia="zh-CN"/>
          <w14:textFill>
            <w14:solidFill>
              <w14:schemeClr w14:val="tx1"/>
            </w14:solidFill>
          </w14:textFill>
        </w:rPr>
      </w:pPr>
      <w:bookmarkStart w:id="0" w:name="_Toc25875"/>
      <w:r>
        <w:rPr>
          <w:rFonts w:hint="eastAsia" w:ascii="方正仿宋_GBK" w:hAnsi="方正仿宋_GBK" w:eastAsia="方正仿宋_GBK" w:cs="方正仿宋_GBK"/>
          <w:b/>
          <w:color w:val="000000" w:themeColor="text1"/>
          <w:sz w:val="44"/>
          <w:szCs w:val="44"/>
          <w:highlight w:val="none"/>
          <w:lang w:eastAsia="zh-CN"/>
          <w14:textFill>
            <w14:solidFill>
              <w14:schemeClr w14:val="tx1"/>
            </w14:solidFill>
          </w14:textFill>
        </w:rPr>
        <w:t>省自然资源厅云南省地质灾害隐患识别系统运行维护2025年度项目</w:t>
      </w:r>
    </w:p>
    <w:p>
      <w:pPr>
        <w:spacing w:line="360" w:lineRule="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p>
    <w:p>
      <w:pPr>
        <w:spacing w:line="360" w:lineRule="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p>
    <w:p>
      <w:pPr>
        <w:spacing w:line="360" w:lineRule="auto"/>
        <w:jc w:val="cente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p>
    <w:p>
      <w:pPr>
        <w:spacing w:line="360" w:lineRule="auto"/>
        <w:ind w:firstLine="14" w:firstLineChars="2"/>
        <w:jc w:val="center"/>
        <w:rPr>
          <w:rFonts w:hint="eastAsia" w:ascii="方正仿宋_GBK" w:hAnsi="方正仿宋_GBK" w:eastAsia="方正仿宋_GBK" w:cs="方正仿宋_GBK"/>
          <w:b/>
          <w:bCs/>
          <w:color w:val="000000" w:themeColor="text1"/>
          <w:kern w:val="44"/>
          <w:sz w:val="30"/>
          <w:szCs w:val="30"/>
          <w:highlight w:val="none"/>
          <w14:textFill>
            <w14:solidFill>
              <w14:schemeClr w14:val="tx1"/>
            </w14:solidFill>
          </w14:textFill>
        </w:rPr>
      </w:pPr>
      <w:r>
        <w:rPr>
          <w:rFonts w:hint="eastAsia" w:ascii="方正仿宋_GBK" w:hAnsi="方正仿宋_GBK" w:eastAsia="方正仿宋_GBK" w:cs="方正仿宋_GBK"/>
          <w:b/>
          <w:bCs/>
          <w:color w:val="000000" w:themeColor="text1"/>
          <w:kern w:val="44"/>
          <w:sz w:val="72"/>
          <w:szCs w:val="72"/>
          <w:highlight w:val="none"/>
          <w14:textFill>
            <w14:solidFill>
              <w14:schemeClr w14:val="tx1"/>
            </w14:solidFill>
          </w14:textFill>
        </w:rPr>
        <w:t>公开招标文件</w:t>
      </w:r>
    </w:p>
    <w:p>
      <w:pPr>
        <w:spacing w:line="360" w:lineRule="auto"/>
        <w:ind w:firstLine="2249" w:firstLineChars="700"/>
        <w:rPr>
          <w:rFonts w:hint="eastAsia" w:ascii="方正仿宋_GBK" w:hAnsi="方正仿宋_GBK" w:eastAsia="方正仿宋_GBK" w:cs="方正仿宋_GBK"/>
          <w:b/>
          <w:bCs/>
          <w:color w:val="000000" w:themeColor="text1"/>
          <w:kern w:val="44"/>
          <w:sz w:val="32"/>
          <w:szCs w:val="32"/>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kern w:val="44"/>
          <w:sz w:val="32"/>
          <w:szCs w:val="32"/>
          <w:highlight w:val="none"/>
          <w14:textFill>
            <w14:solidFill>
              <w14:schemeClr w14:val="tx1"/>
            </w14:solidFill>
          </w14:textFill>
        </w:rPr>
        <w:t>招标编号：</w:t>
      </w:r>
      <w:r>
        <w:rPr>
          <w:rFonts w:hint="eastAsia" w:ascii="方正仿宋_GBK" w:hAnsi="方正仿宋_GBK" w:eastAsia="方正仿宋_GBK" w:cs="方正仿宋_GBK"/>
          <w:b/>
          <w:bCs/>
          <w:color w:val="000000" w:themeColor="text1"/>
          <w:kern w:val="44"/>
          <w:sz w:val="32"/>
          <w:szCs w:val="32"/>
          <w:highlight w:val="none"/>
          <w:lang w:eastAsia="zh-CN"/>
          <w14:textFill>
            <w14:solidFill>
              <w14:schemeClr w14:val="tx1"/>
            </w14:solidFill>
          </w14:textFill>
        </w:rPr>
        <w:t>YNQZ-2025ZC-1085</w:t>
      </w:r>
    </w:p>
    <w:p>
      <w:pPr>
        <w:spacing w:line="360" w:lineRule="auto"/>
        <w:ind w:firstLine="2249" w:firstLineChars="700"/>
        <w:rPr>
          <w:rFonts w:hint="eastAsia" w:ascii="方正仿宋_GBK" w:hAnsi="方正仿宋_GBK" w:eastAsia="方正仿宋_GBK" w:cs="方正仿宋_GBK"/>
          <w:b/>
          <w:bCs/>
          <w:color w:val="000000" w:themeColor="text1"/>
          <w:kern w:val="44"/>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kern w:val="44"/>
          <w:sz w:val="32"/>
          <w:szCs w:val="32"/>
          <w:highlight w:val="none"/>
          <w14:textFill>
            <w14:solidFill>
              <w14:schemeClr w14:val="tx1"/>
            </w14:solidFill>
          </w14:textFill>
        </w:rPr>
        <w:t>项目编号：YNZC2025-G3-05524-ynqz-0134</w:t>
      </w:r>
    </w:p>
    <w:p>
      <w:pPr>
        <w:spacing w:line="360" w:lineRule="auto"/>
        <w:ind w:firstLine="602"/>
        <w:rPr>
          <w:rFonts w:hint="eastAsia" w:ascii="方正仿宋_GBK" w:hAnsi="方正仿宋_GBK" w:eastAsia="方正仿宋_GBK" w:cs="方正仿宋_GBK"/>
          <w:b/>
          <w:bCs/>
          <w:color w:val="000000" w:themeColor="text1"/>
          <w:kern w:val="44"/>
          <w:sz w:val="30"/>
          <w:szCs w:val="30"/>
          <w:highlight w:val="none"/>
          <w14:textFill>
            <w14:solidFill>
              <w14:schemeClr w14:val="tx1"/>
            </w14:solidFill>
          </w14:textFill>
        </w:rPr>
      </w:pPr>
    </w:p>
    <w:p>
      <w:pPr>
        <w:spacing w:line="360" w:lineRule="auto"/>
        <w:ind w:firstLine="602"/>
        <w:rPr>
          <w:rFonts w:hint="eastAsia" w:ascii="方正仿宋_GBK" w:hAnsi="方正仿宋_GBK" w:eastAsia="方正仿宋_GBK" w:cs="方正仿宋_GBK"/>
          <w:b/>
          <w:bCs/>
          <w:color w:val="000000" w:themeColor="text1"/>
          <w:kern w:val="44"/>
          <w:sz w:val="30"/>
          <w:szCs w:val="30"/>
          <w:highlight w:val="none"/>
          <w14:textFill>
            <w14:solidFill>
              <w14:schemeClr w14:val="tx1"/>
            </w14:solidFill>
          </w14:textFill>
        </w:rPr>
      </w:pPr>
    </w:p>
    <w:p>
      <w:pPr>
        <w:spacing w:line="360" w:lineRule="auto"/>
        <w:rPr>
          <w:rFonts w:hint="eastAsia" w:ascii="方正仿宋_GBK" w:hAnsi="方正仿宋_GBK" w:eastAsia="方正仿宋_GBK" w:cs="方正仿宋_GBK"/>
          <w:b/>
          <w:bCs/>
          <w:color w:val="000000" w:themeColor="text1"/>
          <w:kern w:val="44"/>
          <w:sz w:val="30"/>
          <w:szCs w:val="30"/>
          <w:highlight w:val="none"/>
          <w14:textFill>
            <w14:solidFill>
              <w14:schemeClr w14:val="tx1"/>
            </w14:solidFill>
          </w14:textFill>
        </w:rPr>
      </w:pPr>
      <w:r>
        <w:rPr>
          <w:rFonts w:hint="eastAsia" w:ascii="方正仿宋_GBK" w:hAnsi="方正仿宋_GBK" w:eastAsia="方正仿宋_GBK" w:cs="方正仿宋_GBK"/>
          <w:b/>
          <w:bCs/>
          <w:color w:val="000000" w:themeColor="text1"/>
          <w:kern w:val="44"/>
          <w:sz w:val="30"/>
          <w:szCs w:val="30"/>
          <w:highlight w:val="none"/>
          <w14:textFill>
            <w14:solidFill>
              <w14:schemeClr w14:val="tx1"/>
            </w14:solidFill>
          </w14:textFill>
        </w:rPr>
        <w:t xml:space="preserve">    </w:t>
      </w:r>
    </w:p>
    <w:p>
      <w:pPr>
        <w:spacing w:line="360" w:lineRule="auto"/>
        <w:ind w:firstLine="18" w:firstLineChars="6"/>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pPr>
    </w:p>
    <w:p>
      <w:pPr>
        <w:spacing w:line="360" w:lineRule="auto"/>
        <w:ind w:firstLine="18" w:firstLineChars="6"/>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pPr>
    </w:p>
    <w:p>
      <w:pPr>
        <w:spacing w:line="360" w:lineRule="auto"/>
        <w:ind w:firstLine="18" w:firstLineChars="6"/>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pPr>
      <w: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t>采购人：云南省自然资源厅国土资源信息中心</w:t>
      </w:r>
    </w:p>
    <w:p>
      <w:pPr>
        <w:spacing w:line="360" w:lineRule="auto"/>
        <w:ind w:firstLine="18" w:firstLineChars="6"/>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pPr>
      <w: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t>采购代理机构：云南启钊工程项目管理有限责任公司</w:t>
      </w:r>
    </w:p>
    <w:p>
      <w:pPr>
        <w:spacing w:line="360" w:lineRule="auto"/>
        <w:ind w:firstLine="593" w:firstLineChars="197"/>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pPr>
      <w: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t xml:space="preserve">二 〇 二 五 年 </w:t>
      </w:r>
      <w:r>
        <w:rPr>
          <w:rFonts w:hint="eastAsia" w:ascii="方正仿宋_GBK" w:hAnsi="方正仿宋_GBK" w:eastAsia="方正仿宋_GBK" w:cs="方正仿宋_GBK"/>
          <w:b/>
          <w:color w:val="000000" w:themeColor="text1"/>
          <w:kern w:val="44"/>
          <w:sz w:val="30"/>
          <w:szCs w:val="30"/>
          <w:highlight w:val="none"/>
          <w:lang w:val="en-US" w:eastAsia="zh-CN"/>
          <w14:textFill>
            <w14:solidFill>
              <w14:schemeClr w14:val="tx1"/>
            </w14:solidFill>
          </w14:textFill>
        </w:rPr>
        <w:t>九</w:t>
      </w:r>
      <w: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t xml:space="preserve"> 月</w:t>
      </w:r>
    </w:p>
    <w:p>
      <w:pPr>
        <w:spacing w:line="360" w:lineRule="auto"/>
        <w:ind w:firstLine="593" w:firstLineChars="197"/>
        <w:jc w:val="center"/>
        <w:rPr>
          <w:rFonts w:hint="eastAsia" w:ascii="方正仿宋_GBK" w:hAnsi="方正仿宋_GBK" w:eastAsia="方正仿宋_GBK" w:cs="方正仿宋_GBK"/>
          <w:b/>
          <w:color w:val="000000" w:themeColor="text1"/>
          <w:kern w:val="44"/>
          <w:sz w:val="30"/>
          <w:szCs w:val="30"/>
          <w:highlight w:val="none"/>
          <w14:textFill>
            <w14:solidFill>
              <w14:schemeClr w14:val="tx1"/>
            </w14:solidFill>
          </w14:textFill>
        </w:rPr>
        <w:sectPr>
          <w:footerReference r:id="rId5" w:type="first"/>
          <w:footerReference r:id="rId3" w:type="default"/>
          <w:footerReference r:id="rId4" w:type="even"/>
          <w:pgSz w:w="11906" w:h="16838"/>
          <w:pgMar w:top="1440" w:right="1800" w:bottom="1440" w:left="1800" w:header="851" w:footer="992" w:gutter="0"/>
          <w:pgNumType w:start="0"/>
          <w:cols w:space="720" w:num="1"/>
          <w:titlePg/>
          <w:docGrid w:type="lines" w:linePitch="312" w:charSpace="0"/>
        </w:sectPr>
      </w:pPr>
    </w:p>
    <w:p>
      <w:pPr>
        <w:tabs>
          <w:tab w:val="right" w:leader="dot" w:pos="8306"/>
        </w:tabs>
        <w:spacing w:line="440" w:lineRule="exact"/>
        <w:jc w:val="center"/>
        <w:rPr>
          <w:rFonts w:hint="eastAsia" w:ascii="方正仿宋_GBK" w:hAnsi="方正仿宋_GBK" w:eastAsia="方正仿宋_GBK" w:cs="方正仿宋_GBK"/>
          <w:color w:val="000000" w:themeColor="text1"/>
          <w:kern w:val="2"/>
          <w:sz w:val="32"/>
          <w:highlight w:val="none"/>
          <w:lang w:val="en-US" w:eastAsia="zh-CN" w:bidi="ar-SA"/>
          <w14:textFill>
            <w14:solidFill>
              <w14:schemeClr w14:val="tx1"/>
            </w14:solidFill>
          </w14:textFill>
        </w:rPr>
      </w:pP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目 录</w:t>
      </w:r>
      <w:bookmarkStart w:id="1" w:name="_Toc489145700"/>
      <w:r>
        <w:rPr>
          <w:rFonts w:hint="eastAsia" w:ascii="方正仿宋_GBK" w:hAnsi="方正仿宋_GBK" w:eastAsia="方正仿宋_GBK" w:cs="方正仿宋_GBK"/>
          <w:color w:val="000000" w:themeColor="text1"/>
          <w:sz w:val="2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0"/>
          <w:highlight w:val="none"/>
          <w14:textFill>
            <w14:solidFill>
              <w14:schemeClr w14:val="tx1"/>
            </w14:solidFill>
          </w14:textFill>
        </w:rPr>
        <w:instrText xml:space="preserve"> TOC \o "1-3" \h \z \u </w:instrText>
      </w:r>
      <w:r>
        <w:rPr>
          <w:rFonts w:hint="eastAsia" w:ascii="方正仿宋_GBK" w:hAnsi="方正仿宋_GBK" w:eastAsia="方正仿宋_GBK" w:cs="方正仿宋_GBK"/>
          <w:color w:val="000000" w:themeColor="text1"/>
          <w:sz w:val="20"/>
          <w:highlight w:val="none"/>
          <w14:textFill>
            <w14:solidFill>
              <w14:schemeClr w14:val="tx1"/>
            </w14:solidFill>
          </w14:textFill>
        </w:rPr>
        <w:fldChar w:fldCharType="separate"/>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_Toc24303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第一章</w:t>
      </w:r>
      <w:r>
        <w:rPr>
          <w:rFonts w:hint="eastAsia" w:ascii="方正仿宋_GBK" w:hAnsi="方正仿宋_GBK" w:eastAsia="方正仿宋_GBK" w:cs="方正仿宋_GBK"/>
          <w:color w:val="000000" w:themeColor="text1"/>
          <w:highlight w:val="none"/>
          <w:lang w:val="en-US"/>
          <w14:textFill>
            <w14:solidFill>
              <w14:schemeClr w14:val="tx1"/>
            </w14:solidFill>
          </w14:textFill>
        </w:rPr>
        <w:t xml:space="preserve">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_Toc24303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_Toc8742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_Toc7216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投标人须知前附表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_Toc7216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_Toc2931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_Toc27700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_Toc27700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_Toc10820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三、投标文件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_Toc10820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_Toc19280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四、投标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15</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_Toc8679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五、开标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_Toc20125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六、评标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_Toc24052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七、中标结果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_Toc15029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八、其他事项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_Toc25237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第三章  合同书样式及主要条款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_Toc25237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_Toc21824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合同书样式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_Toc21824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_Toc4172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第四章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_Toc4172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_Toc28721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28"/>
          <w:highlight w:val="none"/>
          <w14:textFill>
            <w14:solidFill>
              <w14:schemeClr w14:val="tx1"/>
            </w14:solidFill>
          </w14:textFill>
        </w:rPr>
        <w:t>一、</w:t>
      </w:r>
      <w:r>
        <w:rPr>
          <w:rFonts w:hint="eastAsia" w:ascii="方正仿宋_GBK" w:hAnsi="方正仿宋_GBK" w:eastAsia="方正仿宋_GBK" w:cs="方正仿宋_GBK"/>
          <w:color w:val="000000" w:themeColor="text1"/>
          <w:highlight w:val="none"/>
          <w14:textFill>
            <w14:solidFill>
              <w14:schemeClr w14:val="tx1"/>
            </w14:solidFill>
          </w14:textFill>
        </w:rPr>
        <w:t>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_Toc28721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_Toc32469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（一）具有独立承担民事责任的能力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_Toc25505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（二）具有良好的商业信誉和健全的财务会计制度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_Toc28680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（三）具有履行合同所必需的设备和专业技术能力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_Toc5020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（四）有依法缴纳税收和社会保障资金的良好记录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_Toc8946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（五）参加本次政府采购活动前3年内在经营活动中没有重大违法记录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_Toc18797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六</w:t>
      </w:r>
      <w:r>
        <w:rPr>
          <w:rFonts w:hint="eastAsia" w:ascii="方正仿宋_GBK" w:hAnsi="方正仿宋_GBK" w:eastAsia="方正仿宋_GBK" w:cs="方正仿宋_GBK"/>
          <w:color w:val="000000" w:themeColor="text1"/>
          <w:highlight w:val="none"/>
          <w14:textFill>
            <w14:solidFill>
              <w14:schemeClr w14:val="tx1"/>
            </w14:solidFill>
          </w14:textFill>
        </w:rPr>
        <w:t>）符合法律、行政法规规定的其他条件：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_Toc18797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_Toc20597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七</w:t>
      </w:r>
      <w:r>
        <w:rPr>
          <w:rFonts w:hint="eastAsia" w:ascii="方正仿宋_GBK" w:hAnsi="方正仿宋_GBK" w:eastAsia="方正仿宋_GBK" w:cs="方正仿宋_GBK"/>
          <w:color w:val="000000" w:themeColor="text1"/>
          <w:highlight w:val="none"/>
          <w14:textFill>
            <w14:solidFill>
              <w14:schemeClr w14:val="tx1"/>
            </w14:solidFill>
          </w14:textFill>
        </w:rPr>
        <w:t>）投标人满足招标文件其他资格条件的声明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_Toc20597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_Toc9252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八</w:t>
      </w:r>
      <w:r>
        <w:rPr>
          <w:rFonts w:hint="eastAsia" w:ascii="方正仿宋_GBK" w:hAnsi="方正仿宋_GBK" w:eastAsia="方正仿宋_GBK" w:cs="方正仿宋_GBK"/>
          <w:color w:val="000000" w:themeColor="text1"/>
          <w:highlight w:val="none"/>
          <w14:textFill>
            <w14:solidFill>
              <w14:schemeClr w14:val="tx1"/>
            </w14:solidFill>
          </w14:textFill>
        </w:rPr>
        <w:t>）其他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_Toc9252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_Toc9777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二、报价文件部分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_Toc9777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_Toc17003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（一）投标（唱标）一览表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6"/>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_Toc31118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三、商务及技术部分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_Toc6117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（一）投  标  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_Toc31759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（二）法定代表人身份证明书、法人授权委托书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_Toc31759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_Toc12975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（三）投标人基本情况表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_Toc17252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 xml:space="preserve">（四） </w:t>
      </w:r>
      <w:r>
        <w:rPr>
          <w:rFonts w:hint="eastAsia" w:ascii="方正仿宋_GBK" w:hAnsi="方正仿宋_GBK" w:eastAsia="方正仿宋_GBK" w:cs="方正仿宋_GBK"/>
          <w:color w:val="000000" w:themeColor="text1"/>
          <w:highlight w:val="none"/>
          <w14:textFill>
            <w14:solidFill>
              <w14:schemeClr w14:val="tx1"/>
            </w14:solidFill>
          </w14:textFill>
        </w:rPr>
        <w:t>中小企业声明函、监狱企业证明文件（若有）、《残疾人福利性单位声明函》（若有）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_Toc6586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 xml:space="preserve">（五） </w:t>
      </w:r>
      <w:r>
        <w:rPr>
          <w:rFonts w:hint="eastAsia" w:ascii="方正仿宋_GBK" w:hAnsi="方正仿宋_GBK" w:eastAsia="方正仿宋_GBK" w:cs="方正仿宋_GBK"/>
          <w:color w:val="000000" w:themeColor="text1"/>
          <w:highlight w:val="none"/>
          <w:lang w:val="en-US"/>
          <w14:textFill>
            <w14:solidFill>
              <w14:schemeClr w14:val="tx1"/>
            </w14:solidFill>
          </w14:textFill>
        </w:rPr>
        <w:t>商务及</w:t>
      </w:r>
      <w:r>
        <w:rPr>
          <w:rFonts w:hint="eastAsia" w:ascii="方正仿宋_GBK" w:hAnsi="方正仿宋_GBK" w:eastAsia="方正仿宋_GBK" w:cs="方正仿宋_GBK"/>
          <w:color w:val="000000" w:themeColor="text1"/>
          <w:highlight w:val="none"/>
          <w14:textFill>
            <w14:solidFill>
              <w14:schemeClr w14:val="tx1"/>
            </w14:solidFill>
          </w14:textFill>
        </w:rPr>
        <w:t>技术文件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42</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_Toc19147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六</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）项目团队人员配备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_Toc29457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拟派项目经理简历表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43</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_Toc195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2.拟投入项目人员配置情况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44</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_Toc22866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七</w:t>
      </w:r>
      <w:r>
        <w:rPr>
          <w:rFonts w:hint="eastAsia" w:ascii="方正仿宋_GBK" w:hAnsi="方正仿宋_GBK" w:eastAsia="方正仿宋_GBK" w:cs="方正仿宋_GBK"/>
          <w:color w:val="000000" w:themeColor="text1"/>
          <w:highlight w:val="none"/>
          <w14:textFill>
            <w14:solidFill>
              <w14:schemeClr w14:val="tx1"/>
            </w14:solidFill>
          </w14:textFill>
        </w:rPr>
        <w:t>）类似业绩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_Toc19236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八</w:t>
      </w:r>
      <w:r>
        <w:rPr>
          <w:rFonts w:hint="eastAsia" w:ascii="方正仿宋_GBK" w:hAnsi="方正仿宋_GBK" w:eastAsia="方正仿宋_GBK" w:cs="方正仿宋_GBK"/>
          <w:color w:val="000000" w:themeColor="text1"/>
          <w:highlight w:val="none"/>
          <w14:textFill>
            <w14:solidFill>
              <w14:schemeClr w14:val="tx1"/>
            </w14:solidFill>
          </w14:textFill>
        </w:rPr>
        <w:t>）构成投标文件的其他资料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_Toc16861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lang w:val="en-US"/>
          <w14:textFill>
            <w14:solidFill>
              <w14:schemeClr w14:val="tx1"/>
            </w14:solidFill>
          </w14:textFill>
        </w:rPr>
        <w:t xml:space="preserve">第五章 </w:t>
      </w:r>
      <w:r>
        <w:rPr>
          <w:rFonts w:hint="eastAsia" w:ascii="方正仿宋_GBK" w:hAnsi="方正仿宋_GBK" w:eastAsia="方正仿宋_GBK" w:cs="方正仿宋_GBK"/>
          <w:color w:val="000000" w:themeColor="text1"/>
          <w:highlight w:val="none"/>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_Toc16861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_Toc32018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14:textFill>
            <w14:solidFill>
              <w14:schemeClr w14:val="tx1"/>
            </w14:solidFill>
          </w14:textFill>
        </w:rPr>
        <w:t>一、采购标的需实现的功能或者目标，以及为落实政府采购政策需满足的要求；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_Toc32018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_Toc8582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1.项目目标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_Toc8582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_Toc21860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2.采购内容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_Toc21860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_Toc11212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3.驻场运维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_Toc11212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_Toc4475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4.落实政府采购政策需满足的要求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_Toc4475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46</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_Toc16285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14:textFill>
            <w14:solidFill>
              <w14:schemeClr w14:val="tx1"/>
            </w14:solidFill>
          </w14:textFill>
        </w:rPr>
        <w:t>二、采购标的需执行的国家相关标准、行业标准、地方标准或者其他标准、规范；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_Toc16285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47</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_Toc307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lang w:val="en-US"/>
          <w14:textFill>
            <w14:solidFill>
              <w14:schemeClr w14:val="tx1"/>
            </w14:solidFill>
          </w14:textFill>
        </w:rPr>
        <w:t>三、采购标的需满足的质量、安全、技术规格、物理特性等要求；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_Toc5452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1.质量标准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_Toc5452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_Toc20641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t>四、采购标的的数量、采购项目交付或者实施的时间和地点；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_Toc20641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_Toc28979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lang w:val="en-US"/>
          <w14:textFill>
            <w14:solidFill>
              <w14:schemeClr w14:val="tx1"/>
            </w14:solidFill>
          </w14:textFill>
        </w:rPr>
        <w:t>五、采购标的需满足的服务标准、期限、效率等要求；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_Toc28979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_Toc11131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1.采购标的需满足的服务标准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_Toc11131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_Toc11677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2.期限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_Toc17782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3.服务要求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_Toc17782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_Toc20378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lang w:val="en-US"/>
          <w14:textFill>
            <w14:solidFill>
              <w14:schemeClr w14:val="tx1"/>
            </w14:solidFill>
          </w14:textFill>
        </w:rPr>
        <w:t>六、采购标的的验收标准；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_Toc20378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_Toc30417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Cs w:val="16"/>
          <w:highlight w:val="none"/>
          <w:lang w:val="en-US"/>
          <w14:textFill>
            <w14:solidFill>
              <w14:schemeClr w14:val="tx1"/>
            </w14:solidFill>
          </w14:textFill>
        </w:rPr>
        <w:t>七、采购标的的其他技术、服务等要求。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_Toc30417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_Toc16436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需要提供的最后成果资料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_Toc16436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_Toc14121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1.整体要求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_Toc14121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22"/>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_Toc26721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2.文档成果物要求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_Toc26721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50</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pStyle w:val="30"/>
        <w:tabs>
          <w:tab w:val="right" w:leader="dot" w:pos="8306"/>
        </w:tabs>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14:textFill>
            <w14:solidFill>
              <w14:schemeClr w14:val="tx1"/>
            </w14:solidFill>
          </w14:textFill>
        </w:rPr>
        <w:instrText xml:space="preserve"> HYPERLINK \l _Toc9246 </w:instrText>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lang w:val="en-US"/>
          <w14:textFill>
            <w14:solidFill>
              <w14:schemeClr w14:val="tx1"/>
            </w14:solidFill>
          </w14:textFill>
        </w:rPr>
        <w:t>第六章 评标方法（综合评分法）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51</w:t>
      </w:r>
      <w:r>
        <w:rPr>
          <w:color w:val="000000" w:themeColor="text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14:textFill>
            <w14:solidFill>
              <w14:schemeClr w14:val="tx1"/>
            </w14:solidFill>
          </w14:textFill>
        </w:rPr>
        <w:fldChar w:fldCharType="end"/>
      </w:r>
    </w:p>
    <w:p>
      <w:pPr>
        <w:tabs>
          <w:tab w:val="right" w:leader="dot" w:pos="8306"/>
        </w:tabs>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32"/>
          <w:highlight w:val="none"/>
          <w14:textFill>
            <w14:solidFill>
              <w14:schemeClr w14:val="tx1"/>
            </w14:solidFill>
          </w14:textFill>
        </w:rPr>
        <w:fldChar w:fldCharType="end"/>
      </w:r>
      <w:bookmarkStart w:id="2" w:name="_Toc18283"/>
      <w:r>
        <w:rPr>
          <w:rFonts w:hint="eastAsia" w:ascii="方正仿宋_GBK" w:hAnsi="方正仿宋_GBK" w:eastAsia="方正仿宋_GBK" w:cs="方正仿宋_GBK"/>
          <w:color w:val="000000" w:themeColor="text1"/>
          <w:highlight w:val="none"/>
          <w14:textFill>
            <w14:solidFill>
              <w14:schemeClr w14:val="tx1"/>
            </w14:solidFill>
          </w14:textFill>
        </w:rPr>
        <w:br w:type="page"/>
      </w:r>
      <w:bookmarkStart w:id="3" w:name="_Toc191478687"/>
    </w:p>
    <w:p>
      <w:pPr>
        <w:pStyle w:val="30"/>
        <w:tabs>
          <w:tab w:val="right" w:leader="dot" w:pos="8306"/>
        </w:tabs>
        <w:spacing w:line="440" w:lineRule="exact"/>
        <w:jc w:val="center"/>
        <w:rPr>
          <w:rFonts w:hint="eastAsia" w:ascii="方正仿宋_GBK" w:hAnsi="方正仿宋_GBK" w:eastAsia="方正仿宋_GBK" w:cs="方正仿宋_GBK"/>
          <w:bCs w:val="0"/>
          <w:caps w:val="0"/>
          <w:color w:val="000000" w:themeColor="text1"/>
          <w:spacing w:val="20"/>
          <w:kern w:val="44"/>
          <w:sz w:val="32"/>
          <w:highlight w:val="none"/>
          <w:lang w:val="zh-CN"/>
          <w14:textFill>
            <w14:solidFill>
              <w14:schemeClr w14:val="tx1"/>
            </w14:solidFill>
          </w14:textFill>
        </w:rPr>
      </w:pPr>
    </w:p>
    <w:p>
      <w:pPr>
        <w:pStyle w:val="5"/>
        <w:spacing w:line="440" w:lineRule="exact"/>
        <w:rPr>
          <w:rFonts w:hint="eastAsia" w:ascii="方正仿宋_GBK" w:hAnsi="方正仿宋_GBK" w:eastAsia="方正仿宋_GBK" w:cs="方正仿宋_GBK"/>
          <w:color w:val="000000" w:themeColor="text1"/>
          <w:highlight w:val="none"/>
          <w:lang w:val="en-US"/>
          <w14:textFill>
            <w14:solidFill>
              <w14:schemeClr w14:val="tx1"/>
            </w14:solidFill>
          </w14:textFill>
        </w:rPr>
      </w:pPr>
      <w:bookmarkStart w:id="4" w:name="_Toc32718"/>
      <w:bookmarkStart w:id="5" w:name="_Toc1818"/>
      <w:bookmarkStart w:id="6" w:name="_Toc12888"/>
      <w:bookmarkStart w:id="7" w:name="_Toc24046"/>
      <w:bookmarkStart w:id="8" w:name="_Toc24303"/>
      <w:bookmarkStart w:id="638" w:name="_GoBack"/>
      <w:bookmarkEnd w:id="638"/>
      <w:r>
        <w:rPr>
          <w:rFonts w:hint="eastAsia" w:ascii="方正仿宋_GBK" w:hAnsi="方正仿宋_GBK" w:eastAsia="方正仿宋_GBK" w:cs="方正仿宋_GBK"/>
          <w:color w:val="000000" w:themeColor="text1"/>
          <w:highlight w:val="none"/>
          <w14:textFill>
            <w14:solidFill>
              <w14:schemeClr w14:val="tx1"/>
            </w14:solidFill>
          </w14:textFill>
        </w:rPr>
        <w:t>第一章</w:t>
      </w:r>
      <w:bookmarkEnd w:id="2"/>
      <w:bookmarkEnd w:id="3"/>
      <w:bookmarkStart w:id="9" w:name="_Toc191478688"/>
      <w:r>
        <w:rPr>
          <w:rFonts w:hint="eastAsia" w:ascii="方正仿宋_GBK" w:hAnsi="方正仿宋_GBK" w:eastAsia="方正仿宋_GBK" w:cs="方正仿宋_GBK"/>
          <w:color w:val="000000" w:themeColor="text1"/>
          <w:highlight w:val="none"/>
          <w:lang w:val="en-US"/>
          <w14:textFill>
            <w14:solidFill>
              <w14:schemeClr w14:val="tx1"/>
            </w14:solidFill>
          </w14:textFill>
        </w:rPr>
        <w:t xml:space="preserve"> 招标公告</w:t>
      </w:r>
      <w:bookmarkEnd w:id="4"/>
      <w:bookmarkEnd w:id="5"/>
      <w:bookmarkEnd w:id="6"/>
      <w:bookmarkEnd w:id="7"/>
      <w:bookmarkEnd w:id="8"/>
    </w:p>
    <w:p>
      <w:pPr>
        <w:pStyle w:val="30"/>
        <w:tabs>
          <w:tab w:val="right" w:leader="dot" w:pos="8306"/>
        </w:tabs>
        <w:spacing w:line="440" w:lineRule="exact"/>
        <w:jc w:val="cente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省自然资源厅云南省地质灾害隐患识别系统运行维护2025年度项目</w:t>
      </w:r>
    </w:p>
    <w:p>
      <w:pPr>
        <w:pStyle w:val="30"/>
        <w:tabs>
          <w:tab w:val="right" w:leader="dot" w:pos="8306"/>
        </w:tabs>
        <w:spacing w:line="440" w:lineRule="exact"/>
        <w:jc w:val="center"/>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公开招标公告</w:t>
      </w:r>
      <w:bookmarkEnd w:id="0"/>
      <w:bookmarkEnd w:id="1"/>
      <w:bookmarkEnd w:id="9"/>
    </w:p>
    <w:p>
      <w:pPr>
        <w:pBdr>
          <w:top w:val="single" w:color="auto" w:sz="4" w:space="1"/>
          <w:left w:val="single" w:color="auto" w:sz="4" w:space="4"/>
          <w:bottom w:val="single" w:color="auto" w:sz="4" w:space="1"/>
          <w:right w:val="single" w:color="auto" w:sz="4" w:space="4"/>
        </w:pBd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u w:val="single"/>
          <w:lang w:eastAsia="zh-CN"/>
          <w14:textFill>
            <w14:solidFill>
              <w14:schemeClr w14:val="tx1"/>
            </w14:solidFill>
          </w14:textFill>
        </w:rPr>
        <w:t>省自然资源厅云南省地质灾害隐患识别系统运行维护2025年度项目</w:t>
      </w:r>
      <w:r>
        <w:rPr>
          <w:rFonts w:hint="eastAsia" w:ascii="方正仿宋_GBK" w:hAnsi="方正仿宋_GBK" w:eastAsia="方正仿宋_GBK" w:cs="方正仿宋_GBK"/>
          <w:color w:val="000000" w:themeColor="text1"/>
          <w:szCs w:val="21"/>
          <w:highlight w:val="none"/>
          <w14:textFill>
            <w14:solidFill>
              <w14:schemeClr w14:val="tx1"/>
            </w14:solidFill>
          </w14:textFill>
        </w:rPr>
        <w:t>招标项目的潜在投标人应在</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“政采云”平台 （http://www.zcygov.cn）</w:t>
      </w:r>
      <w:r>
        <w:rPr>
          <w:rFonts w:hint="eastAsia" w:ascii="方正仿宋_GBK" w:hAnsi="方正仿宋_GBK" w:eastAsia="方正仿宋_GBK" w:cs="方正仿宋_GBK"/>
          <w:color w:val="000000" w:themeColor="text1"/>
          <w:szCs w:val="21"/>
          <w:highlight w:val="none"/>
          <w14:textFill>
            <w14:solidFill>
              <w14:schemeClr w14:val="tx1"/>
            </w14:solidFill>
          </w14:textFill>
        </w:rPr>
        <w:t>获取采购文件，并于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2025年</w:t>
      </w:r>
      <w:r>
        <w:rPr>
          <w:rFonts w:hint="eastAsia" w:ascii="方正仿宋_GBK" w:hAnsi="方正仿宋_GBK" w:eastAsia="方正仿宋_GBK" w:cs="方正仿宋_GBK"/>
          <w:color w:val="000000" w:themeColor="text1"/>
          <w:szCs w:val="21"/>
          <w:highlight w:val="none"/>
          <w:u w:val="single"/>
          <w:lang w:val="en-US" w:eastAsia="zh-CN"/>
          <w14:textFill>
            <w14:solidFill>
              <w14:schemeClr w14:val="tx1"/>
            </w14:solidFill>
          </w14:textFill>
        </w:rPr>
        <w:t>9</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lang w:val="en-US" w:eastAsia="zh-CN"/>
          <w14:textFill>
            <w14:solidFill>
              <w14:schemeClr w14:val="tx1"/>
            </w14:solidFill>
          </w14:textFill>
        </w:rPr>
        <w:t>26</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日</w:t>
      </w:r>
      <w:r>
        <w:rPr>
          <w:rFonts w:hint="eastAsia" w:ascii="方正仿宋_GBK" w:hAnsi="方正仿宋_GBK" w:eastAsia="方正仿宋_GBK" w:cs="方正仿宋_GBK"/>
          <w:bCs/>
          <w:color w:val="000000" w:themeColor="text1"/>
          <w:szCs w:val="21"/>
          <w:highlight w:val="none"/>
          <w:u w:val="single"/>
          <w:lang w:val="en-US" w:eastAsia="zh-CN"/>
          <w14:textFill>
            <w14:solidFill>
              <w14:schemeClr w14:val="tx1"/>
            </w14:solidFill>
          </w14:textFill>
        </w:rPr>
        <w:t>14时0</w:t>
      </w:r>
      <w:r>
        <w:rPr>
          <w:rFonts w:hint="eastAsia" w:ascii="方正仿宋_GBK" w:hAnsi="方正仿宋_GBK" w:eastAsia="方正仿宋_GBK" w:cs="方正仿宋_GBK"/>
          <w:bCs/>
          <w:color w:val="000000" w:themeColor="text1"/>
          <w:szCs w:val="21"/>
          <w:highlight w:val="none"/>
          <w:u w:val="single"/>
          <w14:textFill>
            <w14:solidFill>
              <w14:schemeClr w14:val="tx1"/>
            </w14:solidFill>
          </w14:textFill>
        </w:rPr>
        <w:t>0分</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（北京时间）前提交投标文件</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一、项目基本情况：</w:t>
      </w:r>
    </w:p>
    <w:p>
      <w:pPr>
        <w:spacing w:line="440" w:lineRule="exact"/>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1.项目编号：YNZC2025-G3-05524-ynqz-0134</w:t>
      </w:r>
    </w:p>
    <w:p>
      <w:pPr>
        <w:spacing w:line="440" w:lineRule="exact"/>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2.项目名称：</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省自然资源厅云南省地质灾害隐患识别系统运行维护2025年度项目</w:t>
      </w:r>
    </w:p>
    <w:p>
      <w:pPr>
        <w:spacing w:line="440" w:lineRule="exact"/>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3.预算金额（万元）：</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70</w:t>
      </w:r>
    </w:p>
    <w:p>
      <w:pPr>
        <w:spacing w:line="440" w:lineRule="exact"/>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4.最高限价（万元）：</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70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5.采购需求：</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省自然资源厅云南省地质灾害隐患识别系统运行维护2025年度项目</w:t>
      </w:r>
      <w:r>
        <w:rPr>
          <w:rFonts w:hint="eastAsia" w:ascii="方正仿宋_GBK" w:hAnsi="方正仿宋_GBK" w:eastAsia="方正仿宋_GBK" w:cs="方正仿宋_GBK"/>
          <w:color w:val="000000" w:themeColor="text1"/>
          <w:szCs w:val="21"/>
          <w:highlight w:val="none"/>
          <w14:textFill>
            <w14:solidFill>
              <w14:schemeClr w14:val="tx1"/>
            </w14:solidFill>
          </w14:textFill>
        </w:rPr>
        <w:t>主要包括：</w:t>
      </w:r>
      <w:r>
        <w:rPr>
          <w:rFonts w:hint="eastAsia" w:ascii="方正仿宋_GBK" w:hAnsi="方正仿宋_GBK" w:eastAsia="方正仿宋_GBK" w:cs="方正仿宋_GBK"/>
          <w:color w:val="000000" w:themeColor="text1"/>
          <w:szCs w:val="21"/>
          <w:highlight w:val="none"/>
          <w14:textFill>
            <w14:solidFill>
              <w14:schemeClr w14:val="tx1"/>
            </w14:solidFill>
          </w14:textFill>
        </w:rPr>
        <w:t>（1）</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地质灾害隐患识别综合系统运维及支撑服务</w:t>
      </w:r>
      <w:r>
        <w:rPr>
          <w:rFonts w:hint="eastAsia" w:ascii="方正仿宋_GBK" w:hAnsi="方正仿宋_GBK" w:eastAsia="方正仿宋_GBK" w:cs="方正仿宋_GBK"/>
          <w:color w:val="000000" w:themeColor="text1"/>
          <w:szCs w:val="21"/>
          <w:highlight w:val="none"/>
          <w14:textFill>
            <w14:solidFill>
              <w14:schemeClr w14:val="tx1"/>
            </w14:solidFill>
          </w14:textFill>
        </w:rPr>
        <w:t>、（2）</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GAMMA系统软件更新升级</w:t>
      </w:r>
      <w:r>
        <w:rPr>
          <w:rFonts w:hint="eastAsia" w:ascii="方正仿宋_GBK" w:hAnsi="方正仿宋_GBK" w:eastAsia="方正仿宋_GBK" w:cs="方正仿宋_GBK"/>
          <w:color w:val="000000" w:themeColor="text1"/>
          <w:szCs w:val="21"/>
          <w:highlight w:val="none"/>
          <w14:textFill>
            <w14:solidFill>
              <w14:schemeClr w14:val="tx1"/>
            </w14:solidFill>
          </w14:textFill>
        </w:rPr>
        <w:t>等内容；</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具体要求详见本招标文件第五章《采购需求》。</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6.合同履行期限（服务期限）：</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自合同签订之日起即开展运维工作，云南省地质灾害隐患识别综合系统运维期至2026年12月底，GAMMA系统软件更新升级服务期限至2028年</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7.质量要求：</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项目一次性通过验收，符合国家、</w:t>
      </w:r>
      <w:r>
        <w:rPr>
          <w:rFonts w:hint="eastAsia" w:ascii="方正仿宋_GBK" w:hAnsi="方正仿宋_GBK" w:eastAsia="方正仿宋_GBK" w:cs="方正仿宋_GBK"/>
          <w:color w:val="000000" w:themeColor="text1"/>
          <w:szCs w:val="21"/>
          <w:highlight w:val="none"/>
          <w14:textFill>
            <w14:solidFill>
              <w14:schemeClr w14:val="tx1"/>
            </w14:solidFill>
          </w14:textFill>
        </w:rPr>
        <w:t>云南省</w:t>
      </w:r>
      <w:r>
        <w:rPr>
          <w:rFonts w:hint="eastAsia" w:ascii="方正仿宋_GBK" w:hAnsi="方正仿宋_GBK" w:eastAsia="方正仿宋_GBK" w:cs="方正仿宋_GBK"/>
          <w:color w:val="000000" w:themeColor="text1"/>
          <w:szCs w:val="21"/>
          <w:highlight w:val="none"/>
          <w14:textFill>
            <w14:solidFill>
              <w14:schemeClr w14:val="tx1"/>
            </w14:solidFill>
          </w14:textFill>
        </w:rPr>
        <w:t>和行业相关标准及</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采购</w:t>
      </w:r>
      <w:r>
        <w:rPr>
          <w:rFonts w:hint="eastAsia" w:ascii="方正仿宋_GBK" w:hAnsi="方正仿宋_GBK" w:eastAsia="方正仿宋_GBK" w:cs="方正仿宋_GBK"/>
          <w:color w:val="000000" w:themeColor="text1"/>
          <w:szCs w:val="21"/>
          <w:highlight w:val="none"/>
          <w14:textFill>
            <w14:solidFill>
              <w14:schemeClr w14:val="tx1"/>
            </w14:solidFill>
          </w14:textFill>
        </w:rPr>
        <w:t>要求。</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8.本项目</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不接受</w:t>
      </w:r>
      <w:r>
        <w:rPr>
          <w:rFonts w:hint="eastAsia" w:ascii="方正仿宋_GBK" w:hAnsi="方正仿宋_GBK" w:eastAsia="方正仿宋_GBK" w:cs="方正仿宋_GBK"/>
          <w:color w:val="000000" w:themeColor="text1"/>
          <w:szCs w:val="21"/>
          <w:highlight w:val="none"/>
          <w14:textFill>
            <w14:solidFill>
              <w14:schemeClr w14:val="tx1"/>
            </w14:solidFill>
          </w14:textFill>
        </w:rPr>
        <w:t>联合体投标。</w:t>
      </w:r>
    </w:p>
    <w:p>
      <w:pPr>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二、申请人的资格要求：</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1.满足《中华人民共和国政府采购法》第二十二条规定：</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（一）具有独立承担民事责任的能力；</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（二）具有良好的商业信誉和健全的财务会计制度；</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（三）具有履行合同所必需的设备和专业技术能力；</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（四）有依法缴纳税收和社会保障资金的良好记录；</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（五）参加政府采购活动前三年内，经营活动中没有重大违法记录；</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（六）法律、行政法规规定的其他条件。</w:t>
      </w:r>
    </w:p>
    <w:p>
      <w:pPr>
        <w:spacing w:line="440" w:lineRule="exact"/>
        <w:rPr>
          <w:rFonts w:hint="eastAsia" w:ascii="方正仿宋_GBK" w:hAnsi="方正仿宋_GBK" w:eastAsia="方正仿宋_GBK" w:cs="方正仿宋_GBK"/>
          <w:color w:val="000000" w:themeColor="text1"/>
          <w:spacing w:val="2"/>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2.落实政府采购政策需满足的资格要求：</w:t>
      </w: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本项目专门面向中小微企业采购</w:t>
      </w:r>
      <w:r>
        <w:rPr>
          <w:rFonts w:hint="eastAsia" w:ascii="方正仿宋_GBK" w:hAnsi="方正仿宋_GBK" w:eastAsia="方正仿宋_GBK" w:cs="方正仿宋_GBK"/>
          <w:color w:val="000000" w:themeColor="text1"/>
          <w:spacing w:val="2"/>
          <w:szCs w:val="21"/>
          <w:highlight w:val="none"/>
          <w:lang w:eastAsia="zh-CN"/>
          <w14:textFill>
            <w14:solidFill>
              <w14:schemeClr w14:val="tx1"/>
            </w14:solidFill>
          </w14:textFill>
        </w:rPr>
        <w:t>。</w:t>
      </w:r>
    </w:p>
    <w:p>
      <w:pPr>
        <w:spacing w:line="440" w:lineRule="exact"/>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pP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3.本项目的特定资格要求：无。</w:t>
      </w:r>
    </w:p>
    <w:p>
      <w:pPr>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三、</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szCs w:val="21"/>
          <w:highlight w:val="none"/>
          <w14:textFill>
            <w14:solidFill>
              <w14:schemeClr w14:val="tx1"/>
            </w14:solidFill>
          </w14:textFill>
        </w:rPr>
        <w:t>获取招标文件：</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1.时间：</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2025年</w:t>
      </w:r>
      <w:r>
        <w:rPr>
          <w:rFonts w:hint="eastAsia" w:ascii="方正仿宋_GBK" w:hAnsi="方正仿宋_GBK" w:eastAsia="方正仿宋_GBK" w:cs="方正仿宋_GBK"/>
          <w:b/>
          <w:bCs/>
          <w:color w:val="000000" w:themeColor="text1"/>
          <w:szCs w:val="21"/>
          <w:highlight w:val="none"/>
          <w:u w:val="single"/>
          <w:lang w:val="en-US" w:eastAsia="zh-CN"/>
          <w14:textFill>
            <w14:solidFill>
              <w14:schemeClr w14:val="tx1"/>
            </w14:solidFill>
          </w14:textFill>
        </w:rPr>
        <w:t>9</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月</w:t>
      </w:r>
      <w:r>
        <w:rPr>
          <w:rFonts w:hint="eastAsia" w:ascii="方正仿宋_GBK" w:hAnsi="方正仿宋_GBK" w:eastAsia="方正仿宋_GBK" w:cs="方正仿宋_GBK"/>
          <w:b/>
          <w:bCs/>
          <w:color w:val="000000" w:themeColor="text1"/>
          <w:szCs w:val="21"/>
          <w:highlight w:val="none"/>
          <w:u w:val="single"/>
          <w:lang w:val="en-US" w:eastAsia="zh-CN"/>
          <w14:textFill>
            <w14:solidFill>
              <w14:schemeClr w14:val="tx1"/>
            </w14:solidFill>
          </w14:textFill>
        </w:rPr>
        <w:t>5</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日至2025年</w:t>
      </w:r>
      <w:r>
        <w:rPr>
          <w:rFonts w:hint="eastAsia" w:ascii="方正仿宋_GBK" w:hAnsi="方正仿宋_GBK" w:eastAsia="方正仿宋_GBK" w:cs="方正仿宋_GBK"/>
          <w:b/>
          <w:bCs/>
          <w:color w:val="000000" w:themeColor="text1"/>
          <w:szCs w:val="21"/>
          <w:highlight w:val="none"/>
          <w:u w:val="single"/>
          <w:lang w:val="en-US" w:eastAsia="zh-CN"/>
          <w14:textFill>
            <w14:solidFill>
              <w14:schemeClr w14:val="tx1"/>
            </w14:solidFill>
          </w14:textFill>
        </w:rPr>
        <w:t>9</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月</w:t>
      </w:r>
      <w:r>
        <w:rPr>
          <w:rFonts w:hint="eastAsia" w:ascii="方正仿宋_GBK" w:hAnsi="方正仿宋_GBK" w:eastAsia="方正仿宋_GBK" w:cs="方正仿宋_GBK"/>
          <w:b/>
          <w:bCs/>
          <w:color w:val="000000" w:themeColor="text1"/>
          <w:szCs w:val="21"/>
          <w:highlight w:val="none"/>
          <w:u w:val="single"/>
          <w:lang w:val="en-US" w:eastAsia="zh-CN"/>
          <w14:textFill>
            <w14:solidFill>
              <w14:schemeClr w14:val="tx1"/>
            </w14:solidFill>
          </w14:textFill>
        </w:rPr>
        <w:t>12</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日</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，每天06:00至23:59（北京时间，法定节假日除外）</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地点：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3.方式：</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人须在“政采云”平台办理数字证书（CA），CA申领链接：http://yzt.ynsmartcert.cn（客服热线：0871-67276028&lt;紧急可拨19988166369）或https://middle.zcygov.cn，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 CA 需到云南CA办理处进行升级）。外省投标人在政采云平台办理的其他CA可直接使用，无需重复办理。</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（2）按上述要求获取文件的投标人视为合法获取了本项目采购文件，具备本项目的投标资格。</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4.售价（元）：0。</w:t>
      </w:r>
    </w:p>
    <w:p>
      <w:pPr>
        <w:spacing w:line="440" w:lineRule="exact"/>
        <w:ind w:left="29" w:leftChars="14"/>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四、</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szCs w:val="21"/>
          <w:highlight w:val="none"/>
          <w14:textFill>
            <w14:solidFill>
              <w14:schemeClr w14:val="tx1"/>
            </w14:solidFill>
          </w14:textFill>
        </w:rPr>
        <w:t>提交投标文件截止时间、开标时间和地点：</w:t>
      </w:r>
    </w:p>
    <w:p>
      <w:pPr>
        <w:spacing w:line="440" w:lineRule="exact"/>
        <w:ind w:left="29" w:leftChars="14"/>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1.时间：</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2025年</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9</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月</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26</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 xml:space="preserve">日  </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14</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0</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0（北京时间）</w:t>
      </w:r>
    </w:p>
    <w:p>
      <w:pPr>
        <w:spacing w:line="440" w:lineRule="exact"/>
        <w:ind w:left="29" w:leftChars="14"/>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2.地点：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spacing w:line="440" w:lineRule="exact"/>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五、</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开启</w:t>
      </w:r>
    </w:p>
    <w:p>
      <w:pPr>
        <w:spacing w:line="440" w:lineRule="exact"/>
        <w:ind w:left="29" w:leftChars="14"/>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时间：</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2025年</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9</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月</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26</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 xml:space="preserve">日  </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14</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w:t>
      </w:r>
      <w:r>
        <w:rPr>
          <w:rFonts w:hint="eastAsia" w:ascii="方正仿宋_GBK" w:hAnsi="方正仿宋_GBK" w:eastAsia="方正仿宋_GBK" w:cs="方正仿宋_GBK"/>
          <w:b/>
          <w:color w:val="000000" w:themeColor="text1"/>
          <w:szCs w:val="21"/>
          <w:highlight w:val="none"/>
          <w:u w:val="single"/>
          <w:lang w:val="en-US" w:eastAsia="zh-CN"/>
          <w14:textFill>
            <w14:solidFill>
              <w14:schemeClr w14:val="tx1"/>
            </w14:solidFill>
          </w14:textFill>
        </w:rPr>
        <w:t>0</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0</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（北京时间）</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地点：政采云平台电子开标厅</w:t>
      </w:r>
    </w:p>
    <w:p>
      <w:pPr>
        <w:spacing w:line="440" w:lineRule="exact"/>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六、</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公告期限</w:t>
      </w:r>
    </w:p>
    <w:p>
      <w:pPr>
        <w:spacing w:line="440" w:lineRule="exact"/>
        <w:ind w:left="29" w:leftChars="14"/>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自本公告发布之日起5个工作日。</w:t>
      </w:r>
    </w:p>
    <w:p>
      <w:pPr>
        <w:spacing w:line="440" w:lineRule="exact"/>
        <w:ind w:left="29" w:leftChars="14"/>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七、其他补充事宜</w:t>
      </w:r>
    </w:p>
    <w:p>
      <w:pPr>
        <w:spacing w:line="440" w:lineRule="exact"/>
        <w:ind w:left="29" w:leftChars="14"/>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t>1.开标方式：网上开标</w:t>
      </w:r>
    </w:p>
    <w:p>
      <w:pPr>
        <w:spacing w:line="440" w:lineRule="exact"/>
        <w:ind w:left="29" w:leftChars="14"/>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t>2.是否需要缴纳投标保证金：否</w:t>
      </w:r>
    </w:p>
    <w:p>
      <w:pPr>
        <w:spacing w:line="440" w:lineRule="exact"/>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t>3.其他：</w:t>
      </w:r>
    </w:p>
    <w:p>
      <w:pPr>
        <w:spacing w:line="440" w:lineRule="exact"/>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t>（1）本招标公告在云南省政府采购网（http://www.yngp.com）上发布，采购人或采购代理机构对其他网站或媒体转载的公告及公告内容不承担任何责任。</w:t>
      </w:r>
    </w:p>
    <w:p>
      <w:pPr>
        <w:spacing w:line="440" w:lineRule="exact"/>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w:t>
      </w:r>
      <w:r>
        <w:rPr>
          <w:rFonts w:hint="eastAsia" w:ascii="方正仿宋_GBK" w:hAnsi="方正仿宋_GBK" w:eastAsia="方正仿宋_GBK" w:cs="方正仿宋_GBK"/>
          <w:color w:val="000000" w:themeColor="text1"/>
          <w:szCs w:val="21"/>
          <w:highlight w:val="none"/>
          <w:lang w:val="zh-CN"/>
          <w14:textFill>
            <w14:solidFill>
              <w14:schemeClr w14:val="tx1"/>
            </w14:solidFill>
          </w14:textFill>
        </w:rPr>
        <w:t>本项目为不见面开标，投标单位无需到达现场；本项目实行网上投标，采用电子投标文件。</w:t>
      </w:r>
    </w:p>
    <w:p>
      <w:pPr>
        <w:spacing w:line="440" w:lineRule="exact"/>
        <w:rPr>
          <w:rFonts w:hint="eastAsia" w:ascii="方正仿宋_GBK" w:hAnsi="方正仿宋_GBK" w:eastAsia="方正仿宋_GBK" w:cs="方正仿宋_GBK"/>
          <w:b/>
          <w:color w:val="000000" w:themeColor="text1"/>
          <w:szCs w:val="21"/>
          <w:highlight w:val="none"/>
          <w:lang w:val="zh-CN"/>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八、对本次招标提出询问，请按以下方式联系。</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1.采购人信息</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名 称：云南省自然资源厅国土资源信息中心</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地址：昆明市北京路1018号</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联系方式：</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0871-65747379</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2.采购代理机构信息</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名 称：云南启钊工程项目管理有限责任公司</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地址：云南省昆明市盘龙区白龙路俊发阳光俊园6楼</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联系方式：15368210810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3.项目联系方式</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项目联系人：侬正鑫</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电　话：15368210810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4.技术支持</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政采云有限公司</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咨询服务电话：400-881-7190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5.监管部门</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云南省财政厅政府采购管理处</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办公地点：云南省昆明市五华区华山南路130号</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办公时间：周一至周五8:30-12:00  14:00-18:00（法定节假日除外）</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联系电话：0871-63956099</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0" w:name="_Toc489145701"/>
      <w:bookmarkStart w:id="11" w:name="_Toc26061"/>
      <w:bookmarkStart w:id="12" w:name="_Toc378239348"/>
      <w:bookmarkStart w:id="13" w:name="_Toc480817641"/>
      <w:bookmarkStart w:id="14" w:name="_Toc29379732"/>
      <w:bookmarkStart w:id="15" w:name="_Toc213908411"/>
      <w:r>
        <w:rPr>
          <w:rFonts w:hint="eastAsia" w:ascii="方正仿宋_GBK" w:hAnsi="方正仿宋_GBK" w:eastAsia="方正仿宋_GBK" w:cs="方正仿宋_GBK"/>
          <w:color w:val="000000" w:themeColor="text1"/>
          <w:highlight w:val="none"/>
          <w14:textFill>
            <w14:solidFill>
              <w14:schemeClr w14:val="tx1"/>
            </w14:solidFill>
          </w14:textFill>
        </w:rPr>
        <w:br w:type="page"/>
      </w:r>
    </w:p>
    <w:p>
      <w:pPr>
        <w:pStyle w:val="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6" w:name="_Toc18752"/>
      <w:bookmarkStart w:id="17" w:name="_Toc26707"/>
      <w:bookmarkStart w:id="18" w:name="_Toc16805"/>
      <w:bookmarkStart w:id="19" w:name="_Toc14957"/>
      <w:bookmarkStart w:id="20" w:name="_Toc8742"/>
      <w:r>
        <w:rPr>
          <w:rFonts w:hint="eastAsia" w:ascii="方正仿宋_GBK" w:hAnsi="方正仿宋_GBK" w:eastAsia="方正仿宋_GBK" w:cs="方正仿宋_GBK"/>
          <w:color w:val="000000" w:themeColor="text1"/>
          <w:highlight w:val="none"/>
          <w14:textFill>
            <w14:solidFill>
              <w14:schemeClr w14:val="tx1"/>
            </w14:solidFill>
          </w14:textFill>
        </w:rPr>
        <w:t>第二章 投标人须知</w:t>
      </w:r>
      <w:bookmarkEnd w:id="10"/>
      <w:bookmarkEnd w:id="11"/>
      <w:bookmarkEnd w:id="12"/>
      <w:bookmarkEnd w:id="13"/>
      <w:bookmarkEnd w:id="16"/>
      <w:bookmarkEnd w:id="17"/>
      <w:bookmarkEnd w:id="18"/>
      <w:bookmarkEnd w:id="19"/>
      <w:bookmarkEnd w:id="20"/>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21" w:name="_Toc378239349"/>
      <w:bookmarkStart w:id="22" w:name="_Toc23880"/>
      <w:bookmarkStart w:id="23" w:name="_Toc480817642"/>
      <w:bookmarkStart w:id="24" w:name="_Toc6153"/>
      <w:bookmarkStart w:id="25" w:name="_Toc378239168"/>
      <w:bookmarkStart w:id="26" w:name="_Toc11187"/>
      <w:bookmarkStart w:id="27" w:name="_Toc401342132"/>
      <w:bookmarkStart w:id="28" w:name="_Toc489145702"/>
      <w:bookmarkStart w:id="29" w:name="_Toc7216"/>
      <w:bookmarkStart w:id="30" w:name="_Toc378239076"/>
      <w:bookmarkStart w:id="31" w:name="_Toc488633603"/>
      <w:bookmarkStart w:id="32" w:name="_Toc14120"/>
      <w:bookmarkStart w:id="33" w:name="_Toc12595"/>
      <w:r>
        <w:rPr>
          <w:rFonts w:hint="eastAsia" w:ascii="方正仿宋_GBK" w:hAnsi="方正仿宋_GBK" w:eastAsia="方正仿宋_GBK" w:cs="方正仿宋_GBK"/>
          <w:color w:val="000000" w:themeColor="text1"/>
          <w:highlight w:val="none"/>
          <w14:textFill>
            <w14:solidFill>
              <w14:schemeClr w14:val="tx1"/>
            </w14:solidFill>
          </w14:textFill>
        </w:rPr>
        <w:t>投标人须知前附表</w:t>
      </w:r>
      <w:bookmarkEnd w:id="21"/>
      <w:bookmarkEnd w:id="22"/>
      <w:bookmarkEnd w:id="23"/>
      <w:bookmarkEnd w:id="24"/>
      <w:bookmarkEnd w:id="25"/>
      <w:bookmarkEnd w:id="26"/>
      <w:bookmarkEnd w:id="27"/>
      <w:bookmarkEnd w:id="28"/>
      <w:bookmarkEnd w:id="29"/>
      <w:bookmarkEnd w:id="30"/>
      <w:bookmarkEnd w:id="31"/>
      <w:bookmarkEnd w:id="32"/>
      <w:bookmarkEnd w:id="33"/>
    </w:p>
    <w:tbl>
      <w:tblPr>
        <w:tblStyle w:val="41"/>
        <w:tblW w:w="8932" w:type="dxa"/>
        <w:jc w:val="center"/>
        <w:tblLayout w:type="fixed"/>
        <w:tblCellMar>
          <w:top w:w="0" w:type="dxa"/>
          <w:left w:w="108" w:type="dxa"/>
          <w:bottom w:w="0" w:type="dxa"/>
          <w:right w:w="108" w:type="dxa"/>
        </w:tblCellMar>
      </w:tblPr>
      <w:tblGrid>
        <w:gridCol w:w="851"/>
        <w:gridCol w:w="2127"/>
        <w:gridCol w:w="5954"/>
      </w:tblGrid>
      <w:tr>
        <w:tblPrEx>
          <w:tblCellMar>
            <w:top w:w="0" w:type="dxa"/>
            <w:left w:w="108" w:type="dxa"/>
            <w:bottom w:w="0" w:type="dxa"/>
            <w:right w:w="108" w:type="dxa"/>
          </w:tblCellMar>
        </w:tblPrEx>
        <w:trPr>
          <w:trHeight w:val="47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条款号</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条  款  名  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编  列  内  容</w:t>
            </w:r>
          </w:p>
        </w:tc>
      </w:tr>
      <w:tr>
        <w:tblPrEx>
          <w:tblCellMar>
            <w:top w:w="0" w:type="dxa"/>
            <w:left w:w="108" w:type="dxa"/>
            <w:bottom w:w="0" w:type="dxa"/>
            <w:right w:w="108" w:type="dxa"/>
          </w:tblCellMar>
        </w:tblPrEx>
        <w:trPr>
          <w:trHeight w:val="38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1.2</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采购人</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云南省自然资源厅国土资源信息中心</w:t>
            </w:r>
          </w:p>
        </w:tc>
      </w:tr>
      <w:tr>
        <w:tblPrEx>
          <w:tblCellMar>
            <w:top w:w="0" w:type="dxa"/>
            <w:left w:w="108" w:type="dxa"/>
            <w:bottom w:w="0" w:type="dxa"/>
            <w:right w:w="108" w:type="dxa"/>
          </w:tblCellMar>
        </w:tblPrEx>
        <w:trPr>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1.3</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采购代理机构</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云南启钊工程项目管理有限责任公司</w:t>
            </w:r>
          </w:p>
        </w:tc>
      </w:tr>
      <w:tr>
        <w:tblPrEx>
          <w:tblCellMar>
            <w:top w:w="0" w:type="dxa"/>
            <w:left w:w="108" w:type="dxa"/>
            <w:bottom w:w="0" w:type="dxa"/>
            <w:right w:w="108" w:type="dxa"/>
          </w:tblCellMar>
        </w:tblPrEx>
        <w:trPr>
          <w:trHeight w:val="4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1.4</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项目名称及项目编号</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详见招标文件第一章《公开招标公告》</w:t>
            </w:r>
          </w:p>
        </w:tc>
      </w:tr>
      <w:tr>
        <w:tblPrEx>
          <w:tblCellMar>
            <w:top w:w="0" w:type="dxa"/>
            <w:left w:w="108" w:type="dxa"/>
            <w:bottom w:w="0" w:type="dxa"/>
            <w:right w:w="108" w:type="dxa"/>
          </w:tblCellMar>
        </w:tblPrEx>
        <w:trPr>
          <w:trHeight w:val="26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资金来源及预算金额</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财政资金，项目总预算金额</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为</w:t>
            </w:r>
            <w:r>
              <w:rPr>
                <w:rFonts w:hint="eastAsia" w:ascii="方正仿宋_GBK" w:hAnsi="方正仿宋_GBK" w:eastAsia="方正仿宋_GBK" w:cs="方正仿宋_GBK"/>
                <w:bCs/>
                <w:color w:val="000000" w:themeColor="text1"/>
                <w:szCs w:val="21"/>
                <w:highlight w:val="none"/>
                <w:lang w:eastAsia="zh-CN"/>
                <w14:textFill>
                  <w14:solidFill>
                    <w14:schemeClr w14:val="tx1"/>
                  </w14:solidFill>
                </w14:textFill>
              </w:rPr>
              <w:t>70</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万元</w:t>
            </w:r>
          </w:p>
        </w:tc>
      </w:tr>
      <w:tr>
        <w:tblPrEx>
          <w:tblCellMar>
            <w:top w:w="0" w:type="dxa"/>
            <w:left w:w="108" w:type="dxa"/>
            <w:bottom w:w="0" w:type="dxa"/>
            <w:right w:w="108" w:type="dxa"/>
          </w:tblCellMar>
        </w:tblPrEx>
        <w:trPr>
          <w:trHeight w:val="51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招标范围</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详见招标文件第一章《公开招标公告》“项目基本情况”</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具体要求详见本招标文件第五章《采购需求》。</w:t>
            </w:r>
          </w:p>
        </w:tc>
      </w:tr>
      <w:tr>
        <w:tblPrEx>
          <w:tblCellMar>
            <w:top w:w="0" w:type="dxa"/>
            <w:left w:w="108" w:type="dxa"/>
            <w:bottom w:w="0" w:type="dxa"/>
            <w:right w:w="108" w:type="dxa"/>
          </w:tblCellMar>
        </w:tblPrEx>
        <w:trPr>
          <w:trHeight w:val="79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3.2</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服务期限</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服务地点</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服务期限：</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自合同签订之日起即开展运维工作，云南省地质灾害隐患识别综合系统运维期至2026年12月底，GAMMA系统软件更新升级服务期限至2028年</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服务地点：</w:t>
            </w:r>
            <w:r>
              <w:rPr>
                <w:rFonts w:hint="eastAsia" w:ascii="方正仿宋_GBK" w:hAnsi="方正仿宋_GBK" w:eastAsia="方正仿宋_GBK" w:cs="方正仿宋_GBK"/>
                <w:bCs/>
                <w:color w:val="000000" w:themeColor="text1"/>
                <w:szCs w:val="21"/>
                <w:highlight w:val="none"/>
                <w:lang w:eastAsia="zh-CN"/>
                <w14:textFill>
                  <w14:solidFill>
                    <w14:schemeClr w14:val="tx1"/>
                  </w14:solidFill>
                </w14:textFill>
              </w:rPr>
              <w:t>云南省自然资源厅指定地点</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w:t>
            </w:r>
          </w:p>
        </w:tc>
      </w:tr>
      <w:tr>
        <w:tblPrEx>
          <w:tblCellMar>
            <w:top w:w="0" w:type="dxa"/>
            <w:left w:w="108" w:type="dxa"/>
            <w:bottom w:w="0" w:type="dxa"/>
            <w:right w:w="108" w:type="dxa"/>
          </w:tblCellMar>
        </w:tblPrEx>
        <w:trPr>
          <w:trHeight w:val="33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投标人资格要求</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1.满足《中华人民共和国政府采购法》第二十二条的规定要求并提供以下证明材料。</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1.1具有独立承担民事责任的能力，提供有效的营业执照或事业单位法人证书或其他类似的法定证明文件；</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1.2具有良好的商业信誉和健全的财务会计制度：提供2023或2024年度经第三方审计的</w:t>
            </w:r>
            <w:r>
              <w:rPr>
                <w:rFonts w:hint="eastAsia" w:ascii="方正仿宋_GBK" w:hAnsi="方正仿宋_GBK" w:eastAsia="方正仿宋_GBK" w:cs="方正仿宋_GBK"/>
                <w:bCs/>
                <w:color w:val="000000" w:themeColor="text1"/>
                <w:szCs w:val="21"/>
                <w:highlight w:val="none"/>
                <w:lang w:val="en-US" w:eastAsia="zh-CN"/>
                <w14:textFill>
                  <w14:solidFill>
                    <w14:schemeClr w14:val="tx1"/>
                  </w14:solidFill>
                </w14:textFill>
              </w:rPr>
              <w:t>有效的</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财务报告及报表，投标人成立时间不足一年的，可提供自投标文件提交截止时间前三个月内开户银行出具的资信证明或资金存款证明；</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1.3具有履行合同所必需的设备和专业技术能力（提供书面承诺书或证明材料）；</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1.4有依法缴纳税收和社会保障资金的良好记录：提供投标人缴税所属时间在2024年2月至本项目投标文件提交截止时间前任意2个月的税务局税收通用缴款书或银行电子缴税（费）凭证或税务局出具纳税情况的相关证明，依法免税的，应提供依法免税的相关证明文件；提供投标人缴费所属时间在2024年2月至本项目投标文件提交截止时间前任意2个月的社会保险费缴款书或银行电子缴税（费）凭证或社保管理部门出具的有效的缴款证明，依法免缴的，应提供依法免缴的相关证明文件；新成立的投标人根据自身实际情况提供。</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1.5参加本次政府采购活动前3年内在经营活动中没有重大违法记录（提供书面声明）；重大违法记录是指投标人因违法经营受到刑事处罚或责令停产停业、吊销许可证或者执照、较大数额等行政处罚。</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2.落实政府采购政策需满足的资格要求：</w:t>
            </w: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本项目专门面向中小微企业采购</w:t>
            </w:r>
            <w:r>
              <w:rPr>
                <w:rFonts w:hint="eastAsia" w:ascii="方正仿宋_GBK" w:hAnsi="方正仿宋_GBK" w:eastAsia="方正仿宋_GBK" w:cs="方正仿宋_GBK"/>
                <w:color w:val="000000" w:themeColor="text1"/>
                <w:spacing w:val="2"/>
                <w:szCs w:val="21"/>
                <w:highlight w:val="none"/>
                <w:lang w:eastAsia="zh-CN"/>
                <w14:textFill>
                  <w14:solidFill>
                    <w14:schemeClr w14:val="tx1"/>
                  </w14:solidFill>
                </w14:textFill>
              </w:rPr>
              <w:t>。</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3.本项目的特定资格要求：</w:t>
            </w:r>
            <w:r>
              <w:rPr>
                <w:rFonts w:hint="eastAsia" w:ascii="方正仿宋_GBK" w:hAnsi="方正仿宋_GBK" w:eastAsia="方正仿宋_GBK" w:cs="方正仿宋_GBK"/>
                <w:color w:val="000000" w:themeColor="text1"/>
                <w:spacing w:val="2"/>
                <w:szCs w:val="21"/>
                <w:highlight w:val="none"/>
                <w14:textFill>
                  <w14:solidFill>
                    <w14:schemeClr w14:val="tx1"/>
                  </w14:solidFill>
                </w14:textFill>
              </w:rPr>
              <w:t>无</w:t>
            </w:r>
            <w:r>
              <w:rPr>
                <w:rFonts w:hint="eastAsia" w:ascii="方正仿宋_GBK" w:hAnsi="方正仿宋_GBK" w:eastAsia="方正仿宋_GBK" w:cs="方正仿宋_GBK"/>
                <w:bCs/>
                <w:color w:val="000000" w:themeColor="text1"/>
                <w:szCs w:val="21"/>
                <w:highlight w:val="none"/>
                <w14:textFill>
                  <w14:solidFill>
                    <w14:schemeClr w14:val="tx1"/>
                  </w14:solidFill>
                </w14:textFill>
              </w:rPr>
              <w:t>。</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4.投标人须符合法律、行政法规规定的其他条件：</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4.1投标人在本项目投标文件递交截止时间前在信用中国网站（www.creditchina.gov.cn）信用信息系统中不得被列入失信被执行人、重大税收违法失信主体（查询结果以采购人或采购代理机构在开标当天资格审查开始前查询结果为准）；</w:t>
            </w:r>
          </w:p>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4.2投标人在本项目投标文件递交截止时间前在中国政府采购网（www.ccgp.gov.cn）政府采购严重违法失信行为记录中不得为被财政部门禁止参加政府采购活动的投标人并且处罚期限未满（查询结果以采购人或采购代理机构在开标当天资格审查开始前查询结果为准）。</w:t>
            </w:r>
          </w:p>
          <w:p>
            <w:pPr>
              <w:widowControl/>
              <w:spacing w:line="440" w:lineRule="exact"/>
              <w:jc w:val="lef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4.3单位负责人为同一人或者存在直接控股、管理关系的不同投标人，不得参加同一合同项下的政府采购活动。为采购项目提供整体设计、规范编制或者项目管理、监理、检测等服务的投标人，不得再参加本项目的其他采购活动。</w:t>
            </w:r>
          </w:p>
        </w:tc>
      </w:tr>
      <w:tr>
        <w:tblPrEx>
          <w:tblCellMar>
            <w:top w:w="0" w:type="dxa"/>
            <w:left w:w="108" w:type="dxa"/>
            <w:bottom w:w="0" w:type="dxa"/>
            <w:right w:w="108" w:type="dxa"/>
          </w:tblCellMar>
        </w:tblPrEx>
        <w:trPr>
          <w:trHeight w:val="33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4.2</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采购人根据采购项目的特殊要求规定的特定条件</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详见招标文件第一章《公开招标公告》“申请人资格要求”</w:t>
            </w:r>
          </w:p>
        </w:tc>
      </w:tr>
      <w:tr>
        <w:tblPrEx>
          <w:tblCellMar>
            <w:top w:w="0" w:type="dxa"/>
            <w:left w:w="108" w:type="dxa"/>
            <w:bottom w:w="0" w:type="dxa"/>
            <w:right w:w="108" w:type="dxa"/>
          </w:tblCellMar>
        </w:tblPrEx>
        <w:trPr>
          <w:trHeight w:val="33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4.3</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是否接受联合体参加</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不接受</w:t>
            </w:r>
          </w:p>
        </w:tc>
      </w:tr>
      <w:tr>
        <w:tblPrEx>
          <w:tblCellMar>
            <w:top w:w="0" w:type="dxa"/>
            <w:left w:w="108" w:type="dxa"/>
            <w:bottom w:w="0" w:type="dxa"/>
            <w:right w:w="108" w:type="dxa"/>
          </w:tblCellMar>
        </w:tblPrEx>
        <w:trPr>
          <w:trHeight w:val="31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现场考察</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不组织</w:t>
            </w:r>
          </w:p>
        </w:tc>
      </w:tr>
      <w:tr>
        <w:tblPrEx>
          <w:tblCellMar>
            <w:top w:w="0" w:type="dxa"/>
            <w:left w:w="108" w:type="dxa"/>
            <w:bottom w:w="0" w:type="dxa"/>
            <w:right w:w="108" w:type="dxa"/>
          </w:tblCellMar>
        </w:tblPrEx>
        <w:trPr>
          <w:trHeight w:val="409"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7.1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开标前答疑会</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不组织</w:t>
            </w:r>
          </w:p>
        </w:tc>
      </w:tr>
      <w:tr>
        <w:tblPrEx>
          <w:tblCellMar>
            <w:top w:w="0" w:type="dxa"/>
            <w:left w:w="108" w:type="dxa"/>
            <w:bottom w:w="0" w:type="dxa"/>
            <w:right w:w="108" w:type="dxa"/>
          </w:tblCellMar>
        </w:tblPrEx>
        <w:trPr>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招标文件的询问时间</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应认真阅读招标文件，如有疑问的，投标人可以向采购人或采购代理机构提出询问或者凭企业数字证书（CA）登录政采云，通过在线方式提出询问，采购人或者采购代理机构在接到询问后的3个工作日内对投标人依法提出的询问作出答复，但答复的内容不涉及商业秘密。</w:t>
            </w:r>
          </w:p>
        </w:tc>
      </w:tr>
      <w:tr>
        <w:tblPrEx>
          <w:tblCellMar>
            <w:top w:w="0" w:type="dxa"/>
            <w:left w:w="108" w:type="dxa"/>
            <w:bottom w:w="0" w:type="dxa"/>
            <w:right w:w="108" w:type="dxa"/>
          </w:tblCellMar>
        </w:tblPrEx>
        <w:trPr>
          <w:trHeight w:val="96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11.2</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招标文件询问联系方式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询问联系人：侬正鑫</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联系电话：15368210810</w:t>
            </w:r>
          </w:p>
        </w:tc>
      </w:tr>
      <w:tr>
        <w:tblPrEx>
          <w:tblCellMar>
            <w:top w:w="0" w:type="dxa"/>
            <w:left w:w="108" w:type="dxa"/>
            <w:bottom w:w="0" w:type="dxa"/>
            <w:right w:w="108" w:type="dxa"/>
          </w:tblCellMar>
        </w:tblPrEx>
        <w:trPr>
          <w:trHeight w:val="41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11.3</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招标文件澄清、修改时间</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采购人、采购代理机构可以对已发出的招标文件进行必要的澄清或者修改，澄清或者修改的内容作为招标文件的组成部分。当招标文件、招标文件澄清、修改文件内容前后相互矛盾时，以最后发出的为准。澄清或者修改的内容可能影响投标文件编制的，采购人或者采购代理机构将在投标截止时间至少15日前，以书面形式通知所有接收招标文件的投标人，不足15日的，采购人或者采购代理机构将顺延提交投标文件的截止时间。</w:t>
            </w:r>
          </w:p>
        </w:tc>
      </w:tr>
      <w:tr>
        <w:tblPrEx>
          <w:tblCellMar>
            <w:top w:w="0" w:type="dxa"/>
            <w:left w:w="108" w:type="dxa"/>
            <w:bottom w:w="0" w:type="dxa"/>
            <w:right w:w="108" w:type="dxa"/>
          </w:tblCellMar>
        </w:tblPrEx>
        <w:trPr>
          <w:trHeight w:val="72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13.1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语言文字</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投标人的投标文件以及投标人与采购代理机构就有关投标的所有来往函电统一使用中文（特别规定除外）。</w:t>
            </w:r>
          </w:p>
        </w:tc>
      </w:tr>
      <w:tr>
        <w:tblPrEx>
          <w:tblCellMar>
            <w:top w:w="0" w:type="dxa"/>
            <w:left w:w="108" w:type="dxa"/>
            <w:bottom w:w="0" w:type="dxa"/>
            <w:right w:w="108" w:type="dxa"/>
          </w:tblCellMar>
        </w:tblPrEx>
        <w:trPr>
          <w:trHeight w:val="70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14.1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计量单位</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投标文件中使用的计量单位除招标文件中有特殊规定外，一律使用中国法定计量单位。</w:t>
            </w:r>
          </w:p>
        </w:tc>
      </w:tr>
      <w:tr>
        <w:tblPrEx>
          <w:tblCellMar>
            <w:top w:w="0" w:type="dxa"/>
            <w:left w:w="108" w:type="dxa"/>
            <w:bottom w:w="0" w:type="dxa"/>
            <w:right w:w="108" w:type="dxa"/>
          </w:tblCellMar>
        </w:tblPrEx>
        <w:trPr>
          <w:trHeight w:val="121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15.1.7</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构成投标文件的其他资料</w:t>
            </w:r>
          </w:p>
        </w:tc>
        <w:tc>
          <w:tcPr>
            <w:tcW w:w="5954"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40" w:lineRule="exact"/>
              <w:textAlignment w:val="bottom"/>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1.第五章《采购需求》中要求提供的其他资料；</w:t>
            </w:r>
          </w:p>
          <w:p>
            <w:pPr>
              <w:autoSpaceDE w:val="0"/>
              <w:autoSpaceDN w:val="0"/>
              <w:snapToGrid w:val="0"/>
              <w:spacing w:line="440" w:lineRule="exact"/>
              <w:textAlignment w:val="bottom"/>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2.招标文件中所涉及到的相关资料及证明文件或投标人认为必须提供的其他相关资料。</w:t>
            </w:r>
          </w:p>
        </w:tc>
      </w:tr>
      <w:tr>
        <w:tblPrEx>
          <w:tblCellMar>
            <w:top w:w="0" w:type="dxa"/>
            <w:left w:w="108" w:type="dxa"/>
            <w:bottom w:w="0" w:type="dxa"/>
            <w:right w:w="108" w:type="dxa"/>
          </w:tblCellMar>
        </w:tblPrEx>
        <w:trPr>
          <w:trHeight w:val="28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17.1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投标有效期</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从提交投标文件截止之日起</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90</w:t>
            </w:r>
            <w:r>
              <w:rPr>
                <w:rFonts w:hint="eastAsia" w:ascii="方正仿宋_GBK" w:hAnsi="方正仿宋_GBK" w:eastAsia="方正仿宋_GBK" w:cs="方正仿宋_GBK"/>
                <w:color w:val="000000" w:themeColor="text1"/>
                <w:szCs w:val="21"/>
                <w:highlight w:val="none"/>
                <w14:textFill>
                  <w14:solidFill>
                    <w14:schemeClr w14:val="tx1"/>
                  </w14:solidFill>
                </w14:textFill>
              </w:rPr>
              <w:t>日历天。</w:t>
            </w:r>
          </w:p>
        </w:tc>
      </w:tr>
      <w:tr>
        <w:tblPrEx>
          <w:tblCellMar>
            <w:top w:w="0" w:type="dxa"/>
            <w:left w:w="108" w:type="dxa"/>
            <w:bottom w:w="0" w:type="dxa"/>
            <w:right w:w="108" w:type="dxa"/>
          </w:tblCellMar>
        </w:tblPrEx>
        <w:trPr>
          <w:trHeight w:val="55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18</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投标保证金</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本项目投标人不需要缴纳投标保证金。</w:t>
            </w:r>
          </w:p>
        </w:tc>
      </w:tr>
      <w:tr>
        <w:tblPrEx>
          <w:tblCellMar>
            <w:top w:w="0" w:type="dxa"/>
            <w:left w:w="108" w:type="dxa"/>
            <w:bottom w:w="0" w:type="dxa"/>
            <w:right w:w="108" w:type="dxa"/>
          </w:tblCellMar>
        </w:tblPrEx>
        <w:trPr>
          <w:trHeight w:val="231"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20.10</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报价货币</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人民币</w:t>
            </w:r>
          </w:p>
        </w:tc>
      </w:tr>
      <w:tr>
        <w:tblPrEx>
          <w:tblCellMar>
            <w:top w:w="0" w:type="dxa"/>
            <w:left w:w="108" w:type="dxa"/>
            <w:bottom w:w="0" w:type="dxa"/>
            <w:right w:w="108" w:type="dxa"/>
          </w:tblCellMar>
        </w:tblPrEx>
        <w:trPr>
          <w:trHeight w:val="623"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投标文件的密封和标记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8"/>
                <w:highlight w:val="none"/>
                <w14:textFill>
                  <w14:solidFill>
                    <w14:schemeClr w14:val="tx1"/>
                  </w14:solidFill>
                </w14:textFill>
              </w:rPr>
              <w:t>网上递交的投标文件应使用数字证书进行加密。</w:t>
            </w:r>
          </w:p>
        </w:tc>
      </w:tr>
      <w:tr>
        <w:tblPrEx>
          <w:tblCellMar>
            <w:top w:w="0" w:type="dxa"/>
            <w:left w:w="108" w:type="dxa"/>
            <w:bottom w:w="0" w:type="dxa"/>
            <w:right w:w="108" w:type="dxa"/>
          </w:tblCellMar>
        </w:tblPrEx>
        <w:trPr>
          <w:trHeight w:val="84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投标文件递交截止时间、递交投标文件的地点</w:t>
            </w:r>
          </w:p>
        </w:tc>
        <w:tc>
          <w:tcPr>
            <w:tcW w:w="5954" w:type="dxa"/>
            <w:tcBorders>
              <w:top w:val="single" w:color="auto" w:sz="4" w:space="0"/>
              <w:left w:val="single" w:color="auto" w:sz="4" w:space="0"/>
              <w:bottom w:val="single" w:color="auto" w:sz="4" w:space="0"/>
              <w:right w:val="single" w:color="auto" w:sz="4" w:space="0"/>
            </w:tcBorders>
            <w:vAlign w:val="center"/>
          </w:tcPr>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投标文件提交截止时间、提交投标文件的地点：</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详见第一章招标公告内容</w:t>
            </w:r>
            <w:r>
              <w:rPr>
                <w:rFonts w:hint="eastAsia" w:ascii="方正仿宋_GBK" w:hAnsi="方正仿宋_GBK" w:eastAsia="方正仿宋_GBK" w:cs="方正仿宋_GBK"/>
                <w:b/>
                <w:color w:val="000000" w:themeColor="text1"/>
                <w:szCs w:val="21"/>
                <w:highlight w:val="none"/>
                <w:u w:val="single"/>
                <w14:textFill>
                  <w14:solidFill>
                    <w14:schemeClr w14:val="tx1"/>
                  </w14:solidFill>
                </w14:textFill>
              </w:rPr>
              <w:t>。</w:t>
            </w:r>
          </w:p>
        </w:tc>
      </w:tr>
      <w:tr>
        <w:tblPrEx>
          <w:tblCellMar>
            <w:top w:w="0" w:type="dxa"/>
            <w:left w:w="108" w:type="dxa"/>
            <w:bottom w:w="0" w:type="dxa"/>
            <w:right w:w="108" w:type="dxa"/>
          </w:tblCellMar>
        </w:tblPrEx>
        <w:trPr>
          <w:trHeight w:val="84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22.3</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投标文件是否退还</w:t>
            </w:r>
          </w:p>
        </w:tc>
        <w:tc>
          <w:tcPr>
            <w:tcW w:w="5954" w:type="dxa"/>
            <w:tcBorders>
              <w:top w:val="single" w:color="auto" w:sz="4" w:space="0"/>
              <w:left w:val="single" w:color="auto" w:sz="4" w:space="0"/>
              <w:bottom w:val="single" w:color="auto" w:sz="4" w:space="0"/>
              <w:right w:val="single" w:color="auto" w:sz="4" w:space="0"/>
            </w:tcBorders>
            <w:vAlign w:val="center"/>
          </w:tcPr>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否</w:t>
            </w:r>
          </w:p>
        </w:tc>
      </w:tr>
      <w:tr>
        <w:tblPrEx>
          <w:tblCellMar>
            <w:top w:w="0" w:type="dxa"/>
            <w:left w:w="108" w:type="dxa"/>
            <w:bottom w:w="0" w:type="dxa"/>
            <w:right w:w="108" w:type="dxa"/>
          </w:tblCellMar>
        </w:tblPrEx>
        <w:trPr>
          <w:trHeight w:val="121"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24.1</w:t>
            </w:r>
          </w:p>
        </w:tc>
        <w:tc>
          <w:tcPr>
            <w:tcW w:w="2127" w:type="dxa"/>
            <w:tcBorders>
              <w:top w:val="single" w:color="auto" w:sz="4" w:space="0"/>
              <w:left w:val="single" w:color="auto" w:sz="4" w:space="0"/>
              <w:bottom w:val="single" w:color="auto" w:sz="4" w:space="0"/>
              <w:right w:val="single" w:color="auto" w:sz="4" w:space="0"/>
            </w:tcBorders>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开标时间和地点</w:t>
            </w:r>
          </w:p>
        </w:tc>
        <w:tc>
          <w:tcPr>
            <w:tcW w:w="5954" w:type="dxa"/>
            <w:tcBorders>
              <w:top w:val="single" w:color="auto" w:sz="4" w:space="0"/>
              <w:left w:val="single" w:color="auto" w:sz="4" w:space="0"/>
              <w:bottom w:val="single" w:color="auto" w:sz="4" w:space="0"/>
              <w:right w:val="single" w:color="auto" w:sz="4" w:space="0"/>
            </w:tcBorders>
            <w:vAlign w:val="center"/>
          </w:tcPr>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开标时间：投标文件递交截止时间；</w:t>
            </w:r>
          </w:p>
          <w:p>
            <w:pPr>
              <w:pStyle w:val="23"/>
              <w:spacing w:line="440" w:lineRule="exact"/>
              <w:ind w:left="1050" w:hanging="1050" w:hangingChars="5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开标地点：详见第一章招标公告。</w:t>
            </w:r>
          </w:p>
        </w:tc>
      </w:tr>
      <w:tr>
        <w:tblPrEx>
          <w:tblCellMar>
            <w:top w:w="0" w:type="dxa"/>
            <w:left w:w="108" w:type="dxa"/>
            <w:bottom w:w="0" w:type="dxa"/>
            <w:right w:w="108" w:type="dxa"/>
          </w:tblCellMar>
        </w:tblPrEx>
        <w:trPr>
          <w:trHeight w:val="41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25.2</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评标委员会</w:t>
            </w:r>
          </w:p>
        </w:tc>
        <w:tc>
          <w:tcPr>
            <w:tcW w:w="5954" w:type="dxa"/>
            <w:tcBorders>
              <w:top w:val="single" w:color="auto" w:sz="4" w:space="0"/>
              <w:left w:val="single" w:color="auto" w:sz="4" w:space="0"/>
              <w:bottom w:val="single" w:color="auto" w:sz="4" w:space="0"/>
              <w:right w:val="single" w:color="auto" w:sz="4" w:space="0"/>
            </w:tcBorders>
            <w:vAlign w:val="center"/>
          </w:tcPr>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评标委员会由采购人代表和评审专家组成，成员人数为5人以上单数，其中评审专家不得少于成员总数的三分之二。</w:t>
            </w:r>
          </w:p>
        </w:tc>
      </w:tr>
      <w:tr>
        <w:tblPrEx>
          <w:tblCellMar>
            <w:top w:w="0" w:type="dxa"/>
            <w:left w:w="108" w:type="dxa"/>
            <w:bottom w:w="0" w:type="dxa"/>
            <w:right w:w="108" w:type="dxa"/>
          </w:tblCellMar>
        </w:tblPrEx>
        <w:trPr>
          <w:trHeight w:val="33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25.5</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评标方法</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综合评分法</w:t>
            </w:r>
          </w:p>
        </w:tc>
      </w:tr>
      <w:tr>
        <w:tblPrEx>
          <w:tblCellMar>
            <w:top w:w="0" w:type="dxa"/>
            <w:left w:w="108" w:type="dxa"/>
            <w:bottom w:w="0" w:type="dxa"/>
            <w:right w:w="108" w:type="dxa"/>
          </w:tblCellMar>
        </w:tblPrEx>
        <w:trPr>
          <w:trHeight w:val="54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32.1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履约保证金</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不要求</w:t>
            </w:r>
          </w:p>
        </w:tc>
      </w:tr>
      <w:tr>
        <w:tblPrEx>
          <w:tblCellMar>
            <w:top w:w="0" w:type="dxa"/>
            <w:left w:w="108" w:type="dxa"/>
            <w:bottom w:w="0" w:type="dxa"/>
            <w:right w:w="108" w:type="dxa"/>
          </w:tblCellMar>
        </w:tblPrEx>
        <w:trPr>
          <w:trHeight w:val="545"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33.1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中标服务费</w:t>
            </w:r>
          </w:p>
        </w:tc>
        <w:tc>
          <w:tcPr>
            <w:tcW w:w="5954" w:type="dxa"/>
            <w:tcBorders>
              <w:top w:val="single" w:color="auto" w:sz="4" w:space="0"/>
              <w:left w:val="single" w:color="auto" w:sz="4" w:space="0"/>
              <w:bottom w:val="single" w:color="auto" w:sz="4" w:space="0"/>
              <w:right w:val="single" w:color="auto" w:sz="4" w:space="0"/>
            </w:tcBorders>
          </w:tcPr>
          <w:p>
            <w:pPr>
              <w:spacing w:line="440" w:lineRule="exac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参照《云南省建设工程招标代理服务收费参考意见》的通知（云建招协〔2024〕58号）文件中标价计取下浮20%收取，中标人在领取中标通知书前向采购代理机构支付。</w:t>
            </w:r>
          </w:p>
        </w:tc>
      </w:tr>
      <w:tr>
        <w:tblPrEx>
          <w:tblCellMar>
            <w:top w:w="0" w:type="dxa"/>
            <w:left w:w="108" w:type="dxa"/>
            <w:bottom w:w="0" w:type="dxa"/>
            <w:right w:w="108" w:type="dxa"/>
          </w:tblCellMar>
        </w:tblPrEx>
        <w:trPr>
          <w:trHeight w:val="50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w:t>
            </w:r>
          </w:p>
        </w:tc>
        <w:tc>
          <w:tcPr>
            <w:tcW w:w="8081"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需要补充的其他内容：招标文件中要求提供的“证明材料”均为扫描件。</w:t>
            </w:r>
          </w:p>
        </w:tc>
      </w:tr>
    </w:tbl>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34" w:name="_Toc144974497"/>
      <w:bookmarkStart w:id="35" w:name="_Toc246996175"/>
      <w:bookmarkStart w:id="36" w:name="_Toc246996918"/>
      <w:bookmarkStart w:id="37" w:name="_Toc152045529"/>
      <w:bookmarkStart w:id="38" w:name="_Toc378239170"/>
      <w:bookmarkStart w:id="39" w:name="_Toc401342134"/>
      <w:bookmarkStart w:id="40" w:name="_Toc378239078"/>
      <w:bookmarkStart w:id="41" w:name="_Toc480817643"/>
      <w:bookmarkStart w:id="42" w:name="_Toc179632546"/>
      <w:bookmarkStart w:id="43" w:name="_Toc152042305"/>
      <w:bookmarkStart w:id="44" w:name="_Toc489145703"/>
      <w:bookmarkStart w:id="45" w:name="_Toc247085689"/>
      <w:bookmarkStart w:id="46" w:name="_Toc489197807"/>
      <w:bookmarkStart w:id="47" w:name="_Toc296602420"/>
      <w:bookmarkStart w:id="48" w:name="_Toc378239351"/>
      <w:bookmarkStart w:id="49" w:name="_Toc17909"/>
      <w:bookmarkStart w:id="50" w:name="_Toc488633604"/>
      <w:r>
        <w:rPr>
          <w:rFonts w:hint="eastAsia" w:ascii="方正仿宋_GBK" w:hAnsi="方正仿宋_GBK" w:eastAsia="方正仿宋_GBK" w:cs="方正仿宋_GBK"/>
          <w:color w:val="000000" w:themeColor="text1"/>
          <w:highlight w:val="none"/>
          <w14:textFill>
            <w14:solidFill>
              <w14:schemeClr w14:val="tx1"/>
            </w14:solidFill>
          </w14:textFill>
        </w:rPr>
        <w:br w:type="page"/>
      </w:r>
      <w:bookmarkStart w:id="51" w:name="_Toc2931"/>
      <w:bookmarkStart w:id="52" w:name="_Toc24124"/>
      <w:bookmarkStart w:id="53" w:name="_Toc27687"/>
      <w:bookmarkStart w:id="54" w:name="_Toc9281"/>
      <w:bookmarkStart w:id="55" w:name="_Toc3766"/>
      <w:r>
        <w:rPr>
          <w:rFonts w:hint="eastAsia" w:ascii="方正仿宋_GBK" w:hAnsi="方正仿宋_GBK" w:eastAsia="方正仿宋_GBK" w:cs="方正仿宋_GBK"/>
          <w:color w:val="000000" w:themeColor="text1"/>
          <w:highlight w:val="none"/>
          <w14:textFill>
            <w14:solidFill>
              <w14:schemeClr w14:val="tx1"/>
            </w14:solidFill>
          </w14:textFill>
        </w:rPr>
        <w:t>一、总则</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56" w:name="_Toc152042306"/>
      <w:bookmarkStart w:id="57" w:name="_Toc489145704"/>
      <w:bookmarkStart w:id="58" w:name="_Toc296602421"/>
      <w:bookmarkStart w:id="59" w:name="_Toc144974498"/>
      <w:bookmarkStart w:id="60" w:name="_Toc152045530"/>
      <w:bookmarkStart w:id="61" w:name="_Toc489197808"/>
      <w:bookmarkStart w:id="62" w:name="_Toc179632547"/>
      <w:bookmarkStart w:id="63" w:name="_Toc246996176"/>
      <w:bookmarkStart w:id="64" w:name="_Toc246996919"/>
      <w:bookmarkStart w:id="65" w:name="_Toc247085690"/>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 项目概况</w:t>
      </w:r>
      <w:bookmarkEnd w:id="56"/>
      <w:bookmarkEnd w:id="57"/>
      <w:bookmarkEnd w:id="58"/>
      <w:bookmarkEnd w:id="59"/>
      <w:bookmarkEnd w:id="60"/>
      <w:bookmarkEnd w:id="61"/>
      <w:bookmarkEnd w:id="62"/>
      <w:bookmarkEnd w:id="63"/>
      <w:bookmarkEnd w:id="64"/>
      <w:bookmarkEnd w:id="65"/>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根据《中华人民共和国政府采购法》《中华人民共和国政府采购法实施条例》《政府采购货物和服务招标投标管理办法》（财政部令第87号）等有关法律法规的规定，本项目已具备招标条件，现对本项目进行公开招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1.2 本项目采购人：详见《投标人须知前附表》。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1.3 本项目采购代理机构：详见《投标人须知前附表》。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1.4 本项目名称及项目编号：详见《投标人须知前附表》。</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66" w:name="_Toc246996920"/>
      <w:bookmarkStart w:id="67" w:name="_Toc152042307"/>
      <w:bookmarkStart w:id="68" w:name="_Toc489145705"/>
      <w:bookmarkStart w:id="69" w:name="_Toc179632548"/>
      <w:bookmarkStart w:id="70" w:name="_Toc489197809"/>
      <w:bookmarkStart w:id="71" w:name="_Toc152045531"/>
      <w:bookmarkStart w:id="72" w:name="_Toc246996177"/>
      <w:bookmarkStart w:id="73" w:name="_Toc144974499"/>
      <w:bookmarkStart w:id="74" w:name="_Toc247085691"/>
      <w:bookmarkStart w:id="75" w:name="_Toc296602422"/>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 资金来源</w:t>
      </w:r>
      <w:bookmarkEnd w:id="66"/>
      <w:bookmarkEnd w:id="67"/>
      <w:bookmarkEnd w:id="68"/>
      <w:bookmarkEnd w:id="69"/>
      <w:bookmarkEnd w:id="70"/>
      <w:bookmarkEnd w:id="71"/>
      <w:bookmarkEnd w:id="72"/>
      <w:bookmarkEnd w:id="73"/>
      <w:bookmarkEnd w:id="74"/>
      <w:bookmarkEnd w:id="75"/>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2.1资金来源及预算金额：详见《投标人须知前附表》。</w:t>
      </w:r>
      <w:bookmarkStart w:id="76" w:name="_Toc247085692"/>
      <w:bookmarkStart w:id="77" w:name="_Toc296602423"/>
      <w:bookmarkStart w:id="78" w:name="_Toc246996921"/>
      <w:bookmarkStart w:id="79" w:name="_Toc179632549"/>
      <w:bookmarkStart w:id="80" w:name="_Toc144974500"/>
      <w:bookmarkStart w:id="81" w:name="_Toc246996178"/>
      <w:bookmarkStart w:id="82" w:name="_Toc152045532"/>
      <w:bookmarkStart w:id="83" w:name="_Toc152042308"/>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84" w:name="_Toc489145706"/>
      <w:bookmarkStart w:id="85" w:name="_Toc489197810"/>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w:t>
      </w:r>
      <w:bookmarkEnd w:id="76"/>
      <w:bookmarkEnd w:id="77"/>
      <w:bookmarkEnd w:id="78"/>
      <w:bookmarkEnd w:id="79"/>
      <w:bookmarkEnd w:id="80"/>
      <w:bookmarkEnd w:id="81"/>
      <w:bookmarkEnd w:id="82"/>
      <w:bookmarkEnd w:id="83"/>
      <w:bookmarkStart w:id="86" w:name="_Toc427056451"/>
      <w:bookmarkStart w:id="87" w:name="_Toc421541057"/>
      <w:bookmarkStart w:id="88" w:name="_Toc427056529"/>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 招标范围及服务期限、服务地点</w:t>
      </w:r>
      <w:bookmarkEnd w:id="84"/>
      <w:bookmarkEnd w:id="85"/>
      <w:bookmarkEnd w:id="86"/>
      <w:bookmarkEnd w:id="87"/>
      <w:bookmarkEnd w:id="88"/>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3.1本项目招标范围：详见《投标人须知前附表》。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3.2本项目服务期限、服务地点：详见《投标人须知前附表》。</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89" w:name="_Toc246996179"/>
      <w:bookmarkStart w:id="90" w:name="_Toc144974502"/>
      <w:bookmarkStart w:id="91" w:name="_Toc179632551"/>
      <w:bookmarkStart w:id="92" w:name="_Toc247085693"/>
      <w:bookmarkStart w:id="93" w:name="_Toc489145707"/>
      <w:bookmarkStart w:id="94" w:name="_Toc246996922"/>
      <w:bookmarkStart w:id="95" w:name="_Toc152045534"/>
      <w:bookmarkStart w:id="96" w:name="_Toc152042310"/>
      <w:bookmarkStart w:id="97" w:name="_Toc296602424"/>
      <w:bookmarkStart w:id="98" w:name="_Toc489197811"/>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★4. 投标人资格要求</w:t>
      </w:r>
      <w:bookmarkEnd w:id="89"/>
      <w:bookmarkEnd w:id="90"/>
      <w:bookmarkEnd w:id="91"/>
      <w:bookmarkEnd w:id="92"/>
      <w:bookmarkEnd w:id="93"/>
      <w:bookmarkEnd w:id="94"/>
      <w:bookmarkEnd w:id="95"/>
      <w:bookmarkEnd w:id="96"/>
      <w:bookmarkEnd w:id="97"/>
      <w:bookmarkEnd w:id="98"/>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99" w:name="_Toc246996180"/>
      <w:bookmarkStart w:id="100" w:name="_Toc246996923"/>
      <w:bookmarkStart w:id="101" w:name="_Toc152042311"/>
      <w:bookmarkStart w:id="102" w:name="_Toc152045535"/>
      <w:bookmarkStart w:id="103" w:name="_Toc296602425"/>
      <w:bookmarkStart w:id="104" w:name="_Toc179632552"/>
      <w:bookmarkStart w:id="105" w:name="_Toc144974503"/>
      <w:bookmarkStart w:id="106" w:name="_Toc247085694"/>
      <w:r>
        <w:rPr>
          <w:rFonts w:hint="eastAsia" w:ascii="方正仿宋_GBK" w:hAnsi="方正仿宋_GBK" w:eastAsia="方正仿宋_GBK" w:cs="方正仿宋_GBK"/>
          <w:color w:val="000000" w:themeColor="text1"/>
          <w:szCs w:val="21"/>
          <w:highlight w:val="none"/>
          <w14:textFill>
            <w14:solidFill>
              <w14:schemeClr w14:val="tx1"/>
            </w14:solidFill>
          </w14:textFill>
        </w:rPr>
        <w:t>4.1投标人资格要求：详见《投标人须知前附表》。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4.2采购人根据采购项目的特殊要求规定的特定条件：详见《投标人须知前附表》。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4.3是否接受联合体参加：详见《投标人须知前附表》。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4.4如投标人为满足投标人资格要求提供虚假材料，一经查实，视为未实质性响应招标文件，投标人投标文件将按无效处理。</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4.5单位负责人为同一人或者存在直接控股、管理关系的不同投标人，不得参加同一合同项下的政府采购活动。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4.6除单一来源采购项目外，为采购项目提供整体设计、规范编制或者项目管理、监理、检测等服务的投标人，不得再参加该采购项目的其他采购活动。</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4.7符合上述条件的投标人应承担投标及履约中应承担的全部责任与义务。</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07" w:name="_Toc489145708"/>
      <w:bookmarkStart w:id="108" w:name="_Toc489197812"/>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5. 费用承担</w:t>
      </w:r>
      <w:bookmarkEnd w:id="99"/>
      <w:bookmarkEnd w:id="100"/>
      <w:bookmarkEnd w:id="101"/>
      <w:bookmarkEnd w:id="102"/>
      <w:bookmarkEnd w:id="103"/>
      <w:bookmarkEnd w:id="104"/>
      <w:bookmarkEnd w:id="105"/>
      <w:bookmarkEnd w:id="106"/>
      <w:bookmarkEnd w:id="107"/>
      <w:bookmarkEnd w:id="108"/>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5.1不论投标结果如何，投标人均应自行承担所有与准备和参加投标活动有关的全部费用。</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09" w:name="_Toc489145709"/>
      <w:bookmarkStart w:id="110" w:name="_Toc489197813"/>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6. 现场考察</w:t>
      </w:r>
      <w:bookmarkEnd w:id="109"/>
      <w:bookmarkEnd w:id="110"/>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6.1 投标人须知前附表规定组织现场考察的，采购人按《投标人须知前附表》规定的时间、集中地点组织潜在投标人进行现场考察。 </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6.2现场考察所发生的费用由潜在投标人自理。</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6.3 除采购人的原因外，潜在投标人自行负责在现场考察中所发生的人员伤亡和财产损失。</w:t>
      </w:r>
    </w:p>
    <w:p>
      <w:pPr>
        <w:spacing w:line="440" w:lineRule="exact"/>
        <w:ind w:left="420" w:left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6.4 采购人在现场考察中介绍的项目场地和相关的周边环境情况，供潜在投标人在编制投标文件时参考，采购人不对潜在投标人据此作出的判断和决策负责。</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11" w:name="_Toc489145710"/>
      <w:bookmarkStart w:id="112" w:name="_Toc489197814"/>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7. 开标前答疑会</w:t>
      </w:r>
      <w:bookmarkEnd w:id="111"/>
      <w:bookmarkEnd w:id="112"/>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7.1 投标人须知前附表规定召开开标前答疑会的，采购人按《投标人须知前附表》规定的时间和地点召开开标前答疑会，书面澄清潜在投标人提出的问题。</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13" w:name="_Toc489197815"/>
      <w:bookmarkStart w:id="114" w:name="_Toc489145711"/>
      <w:bookmarkStart w:id="115" w:name="_Toc246996930"/>
      <w:bookmarkStart w:id="116" w:name="_Toc378239171"/>
      <w:bookmarkStart w:id="117" w:name="_Toc152042318"/>
      <w:bookmarkStart w:id="118" w:name="_Toc489197817"/>
      <w:bookmarkStart w:id="119" w:name="_Toc296602432"/>
      <w:bookmarkStart w:id="120" w:name="_Toc144974510"/>
      <w:bookmarkStart w:id="121" w:name="_Toc179632560"/>
      <w:bookmarkStart w:id="122" w:name="_Toc378239352"/>
      <w:bookmarkStart w:id="123" w:name="_Toc489145713"/>
      <w:bookmarkStart w:id="124" w:name="_Toc17348"/>
      <w:bookmarkStart w:id="125" w:name="_Toc246996187"/>
      <w:bookmarkStart w:id="126" w:name="_Toc152045542"/>
      <w:bookmarkStart w:id="127" w:name="_Toc480817644"/>
      <w:bookmarkStart w:id="128" w:name="_Toc488633605"/>
      <w:bookmarkStart w:id="129" w:name="_Toc247085701"/>
      <w:bookmarkStart w:id="130" w:name="_Toc378239079"/>
      <w:bookmarkStart w:id="131" w:name="_Toc401342135"/>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8.质疑</w:t>
      </w:r>
      <w:bookmarkEnd w:id="113"/>
      <w:bookmarkEnd w:id="114"/>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8.2招标文件第二章《投标人须知》8.1条中“知道或者应知其权益受到损害之日”是指：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（一）对可以质疑的采购文件提出质疑的，为收到采购文件之日或者采购文件公告期限届满之日；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（二）对采购过程提出质疑的，为各采购程序环节结束之日；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（三）对中标或者成交结果提出质疑的，为中标或者成交结果公告期限届满之日。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8.3投标人可以委托代理人进行质疑。其授权委托书应当载明代理人的姓名或者名称、代理事项、具体权限、期限和相关事项。投标人为自然人的，应当由本人签章；投标人为法人或者其他组织的，应当由法定代表人、主要负责人签章或者盖章，并加盖公章。代理人提出质疑，应当提交投标人签署的授权委托书。</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提出质疑的投标人应当是参与所质疑项目采购活动的投标人。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（一）投标人的姓名或者名称、地址、邮编、联系人及联系电话；</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（二）质疑项目的名称、编号；</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（三）具体、明确的质疑事项和与质疑事项相关的请求；</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（四）事实依据；</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（五）必要的法律依据；</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（六）提出质疑的日期。</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投标人为自然人的，应当由本人签章；投标人为法人或者其他组织的，应当由法定代表人、主要负责人，或者其授权代表签章，并加盖公章。</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8.5投标人不得捏造事实、提供虚假材料或者以非法手段取得证明材料。</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8.6质疑函应当使用中文。相关当事人提供外文书证或者外国语视听资料的，应当附有中文译本，由翻译机构盖章或者翻译人员签名。</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8.7采购人、采购代理机构将在收到投标人质疑函后七个工作日内作出答复，但质疑答复的内容不涉及商业秘密。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8.8投标人对评审过程、中标结果提出质疑的，采购人、采购代理机构可以组织原评标委员会协助答复质疑。质疑答复导致中标结果改变的，采购人或者采购代理机构会将有关情况书面报告本级财政部门。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8.9接收质疑函的方式：书面方式；接收质疑函的部门：云南启钊工程项目管理有限责任公司；联系人、联系电话：侬正鑫 </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15368210810</w:t>
      </w:r>
      <w:r>
        <w:rPr>
          <w:rFonts w:hint="eastAsia" w:ascii="方正仿宋_GBK" w:hAnsi="方正仿宋_GBK" w:eastAsia="方正仿宋_GBK" w:cs="方正仿宋_GBK"/>
          <w:color w:val="000000" w:themeColor="text1"/>
          <w:szCs w:val="21"/>
          <w:highlight w:val="none"/>
          <w14:textFill>
            <w14:solidFill>
              <w14:schemeClr w14:val="tx1"/>
            </w14:solidFill>
          </w14:textFill>
        </w:rPr>
        <w:t>；通讯地址：</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云南省昆明市盘龙区白龙路俊发阳光俊园6楼</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32" w:name="_Toc489145712"/>
      <w:bookmarkStart w:id="133" w:name="_Toc48919781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9.投诉</w:t>
      </w:r>
      <w:bookmarkEnd w:id="132"/>
      <w:bookmarkEnd w:id="133"/>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9.1投诉必须首先经过质疑程序。质疑投标人对采购人、采购代理机构的答复不满意，或者采购人、采购代理机构未在规定时间内作出答复的，可以在答复期满后十五个工作日内书面向同级财政部门提起投诉。</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34" w:name="_Toc23207"/>
      <w:bookmarkStart w:id="135" w:name="_Toc32470"/>
      <w:bookmarkStart w:id="136" w:name="_Toc25658"/>
      <w:bookmarkStart w:id="137" w:name="_Toc5712"/>
      <w:bookmarkStart w:id="138" w:name="_Toc27700"/>
      <w:r>
        <w:rPr>
          <w:rFonts w:hint="eastAsia" w:ascii="方正仿宋_GBK" w:hAnsi="方正仿宋_GBK" w:eastAsia="方正仿宋_GBK" w:cs="方正仿宋_GBK"/>
          <w:color w:val="000000" w:themeColor="text1"/>
          <w:highlight w:val="none"/>
          <w14:textFill>
            <w14:solidFill>
              <w14:schemeClr w14:val="tx1"/>
            </w14:solidFill>
          </w14:textFill>
        </w:rPr>
        <w:t>二、招标文件</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4"/>
      <w:bookmarkEnd w:id="135"/>
      <w:bookmarkEnd w:id="136"/>
      <w:bookmarkEnd w:id="137"/>
      <w:bookmarkEnd w:id="138"/>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39" w:name="_Toc489145714"/>
      <w:bookmarkStart w:id="140" w:name="_Toc489197818"/>
      <w:bookmarkStart w:id="141" w:name="_Toc247085702"/>
      <w:bookmarkStart w:id="142" w:name="_Toc152045543"/>
      <w:bookmarkStart w:id="143" w:name="_Toc144974511"/>
      <w:bookmarkStart w:id="144" w:name="_Toc179632561"/>
      <w:bookmarkStart w:id="145" w:name="_Toc246996188"/>
      <w:bookmarkStart w:id="146" w:name="_Toc246996931"/>
      <w:bookmarkStart w:id="147" w:name="_Toc296602433"/>
      <w:bookmarkStart w:id="148" w:name="_Toc152042319"/>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10.</w:t>
      </w:r>
      <w:bookmarkEnd w:id="139"/>
      <w:bookmarkEnd w:id="140"/>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 </w:t>
      </w:r>
      <w:bookmarkEnd w:id="141"/>
      <w:bookmarkEnd w:id="142"/>
      <w:bookmarkEnd w:id="143"/>
      <w:bookmarkEnd w:id="144"/>
      <w:bookmarkEnd w:id="145"/>
      <w:bookmarkEnd w:id="146"/>
      <w:bookmarkEnd w:id="147"/>
      <w:bookmarkEnd w:id="148"/>
      <w:bookmarkStart w:id="149" w:name="_Toc489197819"/>
      <w:bookmarkStart w:id="150" w:name="_Toc489145715"/>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招标文件的组成</w:t>
      </w:r>
      <w:bookmarkEnd w:id="149"/>
      <w:bookmarkEnd w:id="150"/>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10.1采购人要求提供的</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货物、工程或者服务、</w:t>
      </w:r>
      <w:r>
        <w:rPr>
          <w:rFonts w:hint="eastAsia" w:ascii="方正仿宋_GBK" w:hAnsi="方正仿宋_GBK" w:eastAsia="方正仿宋_GBK" w:cs="方正仿宋_GBK"/>
          <w:color w:val="000000" w:themeColor="text1"/>
          <w:szCs w:val="21"/>
          <w:highlight w:val="none"/>
          <w14:textFill>
            <w14:solidFill>
              <w14:schemeClr w14:val="tx1"/>
            </w14:solidFill>
          </w14:textFill>
        </w:rPr>
        <w:t>采购过程及合同条款在招标文件中均有说明，招标文件共六章，各章的内容如下：</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第一章  公开招标公告</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第二章  投标人须知</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第三章  合同书样式及主要条款</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第四章  投标文件格式</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第五章  采购需求</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第六章  评标方法（综合评分法）</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51" w:name="_Toc152045544"/>
      <w:bookmarkStart w:id="152" w:name="_Toc489197820"/>
      <w:bookmarkStart w:id="153" w:name="_Toc489145716"/>
      <w:bookmarkStart w:id="154" w:name="_Toc296602434"/>
      <w:bookmarkStart w:id="155" w:name="_Toc247085703"/>
      <w:bookmarkStart w:id="156" w:name="_Toc144974512"/>
      <w:bookmarkStart w:id="157" w:name="_Toc179632562"/>
      <w:bookmarkStart w:id="158" w:name="_Toc246996189"/>
      <w:bookmarkStart w:id="159" w:name="_Toc152042320"/>
      <w:bookmarkStart w:id="160" w:name="_Toc246996932"/>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11. 招标文件的询问、澄清、修改</w:t>
      </w:r>
      <w:bookmarkEnd w:id="151"/>
      <w:bookmarkEnd w:id="152"/>
      <w:bookmarkEnd w:id="153"/>
      <w:bookmarkEnd w:id="154"/>
      <w:bookmarkEnd w:id="155"/>
      <w:bookmarkEnd w:id="156"/>
      <w:bookmarkEnd w:id="157"/>
      <w:bookmarkEnd w:id="158"/>
      <w:bookmarkEnd w:id="159"/>
      <w:bookmarkEnd w:id="160"/>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11.1投标人应认真阅读招标文件，如有疑问的，投标人可以向采购人或采购代理机构提出询问或者凭企业数字证书（CA）登录政采云，通过在线方式提出询问，采购人或者采购代理机构在接到询问后的3个工作日内对投标人依法提出的询问作出答复，但答复的内容不涉及商业秘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11.2招标文件询问联系方式：详见《投标人须知前附表》。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11.3采购人、采购代理机构可以对已发出的招标文件进行必要的澄清或者修改，澄清或者修改的内容作为招标文件的组成部分。当招标文件、招标文件澄清、修改文件内容前后相互矛盾时，以最后发出的为准。澄清或者修改的内容可能影响投标文件编制的，采购人或者采购代理机构将在投标截止时间至少15日前，以书面形式通知所有接收招标文件的投标人，不足15日的，采购人或者采购代理机构将顺延提交投标文件的截止时间。投标人应在电子投标文件提交截止时间前及时查看有关该项目招标文件的澄清、修改内容。如因投标人自身原因导致未及时查看有关该项目招标文件的澄清、修改内容，由此造成的一切后果由投标人自行承担。</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61" w:name="_Toc296602436"/>
      <w:bookmarkStart w:id="162" w:name="_Toc179632564"/>
      <w:bookmarkStart w:id="163" w:name="_Toc247085705"/>
      <w:bookmarkStart w:id="164" w:name="_Toc378239080"/>
      <w:bookmarkStart w:id="165" w:name="_Toc152042322"/>
      <w:bookmarkStart w:id="166" w:name="_Toc246996191"/>
      <w:bookmarkStart w:id="167" w:name="_Toc10820"/>
      <w:bookmarkStart w:id="168" w:name="_Toc10715"/>
      <w:bookmarkStart w:id="169" w:name="_Toc378239172"/>
      <w:bookmarkStart w:id="170" w:name="_Toc401342136"/>
      <w:bookmarkStart w:id="171" w:name="_Toc488633606"/>
      <w:bookmarkStart w:id="172" w:name="_Toc378239353"/>
      <w:bookmarkStart w:id="173" w:name="_Toc144974514"/>
      <w:bookmarkStart w:id="174" w:name="_Toc152045546"/>
      <w:bookmarkStart w:id="175" w:name="_Toc470"/>
      <w:bookmarkStart w:id="176" w:name="_Toc1971"/>
      <w:bookmarkStart w:id="177" w:name="_Toc246996934"/>
      <w:bookmarkStart w:id="178" w:name="_Toc489145717"/>
      <w:bookmarkStart w:id="179" w:name="_Toc11384"/>
      <w:bookmarkStart w:id="180" w:name="_Toc29509"/>
      <w:bookmarkStart w:id="181" w:name="_Toc480817645"/>
      <w:bookmarkStart w:id="182" w:name="_Toc489197821"/>
      <w:r>
        <w:rPr>
          <w:rFonts w:hint="eastAsia" w:ascii="方正仿宋_GBK" w:hAnsi="方正仿宋_GBK" w:eastAsia="方正仿宋_GBK" w:cs="方正仿宋_GBK"/>
          <w:color w:val="000000" w:themeColor="text1"/>
          <w:highlight w:val="none"/>
          <w14:textFill>
            <w14:solidFill>
              <w14:schemeClr w14:val="tx1"/>
            </w14:solidFill>
          </w14:textFill>
        </w:rPr>
        <w:t>三、投标文件</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83" w:name="_Toc489197822"/>
      <w:bookmarkStart w:id="184" w:name="_Toc489145718"/>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12. 投标文件编写注意事项</w:t>
      </w:r>
      <w:bookmarkEnd w:id="183"/>
      <w:bookmarkEnd w:id="184"/>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12.1 投标人应仔细阅读招标文件，在完全了解采购内容、技术性能要求和商务条件后，根据招标文件要求编写投标文件。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12.2 对招标文件提出的实质性要求和条件作出响应是指投标人的投标文件必须对招标文件中规定的实质性要求和条件作出满足或者优于原要求和条件的承诺，并提供相应的证明材料，否则按无效处理。</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85" w:name="_Toc489145719"/>
      <w:bookmarkStart w:id="186" w:name="_Toc489197823"/>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13. 语言文字</w:t>
      </w:r>
      <w:bookmarkEnd w:id="185"/>
      <w:bookmarkEnd w:id="186"/>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13.1投标人的投标文件以及投标人与采购代理机构就有关投标的所有来往函电统一使用中文（特别规定除外）。</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87" w:name="_Toc489145720"/>
      <w:bookmarkStart w:id="188" w:name="_Toc489197824"/>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14. 计量单位</w:t>
      </w:r>
      <w:bookmarkEnd w:id="187"/>
      <w:bookmarkEnd w:id="188"/>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14.1投标文件中使用的计量单位除招标文件中有特殊规定外，一律使用中国法定计量单位。</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89" w:name="_Toc489197825"/>
      <w:bookmarkStart w:id="190" w:name="_Toc246996192"/>
      <w:bookmarkStart w:id="191" w:name="_Toc247085706"/>
      <w:bookmarkStart w:id="192" w:name="_Toc179632565"/>
      <w:bookmarkStart w:id="193" w:name="_Toc152042323"/>
      <w:bookmarkStart w:id="194" w:name="_Toc152045547"/>
      <w:bookmarkStart w:id="195" w:name="_Toc144974515"/>
      <w:bookmarkStart w:id="196" w:name="_Toc296602437"/>
      <w:bookmarkStart w:id="197" w:name="_Toc246996935"/>
      <w:bookmarkStart w:id="198" w:name="_Toc489145721"/>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15. 投标文件的组成</w:t>
      </w:r>
      <w:bookmarkEnd w:id="189"/>
      <w:bookmarkEnd w:id="190"/>
      <w:bookmarkEnd w:id="191"/>
      <w:bookmarkEnd w:id="192"/>
      <w:bookmarkEnd w:id="193"/>
      <w:bookmarkEnd w:id="194"/>
      <w:bookmarkEnd w:id="195"/>
      <w:bookmarkEnd w:id="196"/>
      <w:bookmarkEnd w:id="197"/>
      <w:bookmarkEnd w:id="198"/>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15.1投标人编写的投标文件须包括的内容详见“第四章《投标文件格式》”。</w:t>
      </w:r>
    </w:p>
    <w:p>
      <w:pPr>
        <w:spacing w:line="440" w:lineRule="exact"/>
        <w:ind w:left="502"/>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15.2投标人同时投多个包（若分包时）的，投标文件应按包分别编制。</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199" w:name="_Toc489145722"/>
      <w:bookmarkStart w:id="200" w:name="_Toc48919782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★16. 投标文件的格式要求</w:t>
      </w:r>
      <w:bookmarkEnd w:id="199"/>
      <w:bookmarkEnd w:id="200"/>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16.1投标人应按第四章《投标文件格式》提供的格式完整地填写，未按招标文件规定格式填写的投标文件按无效投标处理。</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01" w:name="_Toc489145723"/>
      <w:bookmarkStart w:id="202" w:name="_Toc489197827"/>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★17投标有效期</w:t>
      </w:r>
      <w:bookmarkEnd w:id="201"/>
      <w:bookmarkEnd w:id="202"/>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203" w:name="_Toc152042325"/>
      <w:bookmarkStart w:id="204" w:name="_Toc246996194"/>
      <w:bookmarkStart w:id="205" w:name="_Toc179632567"/>
      <w:bookmarkStart w:id="206" w:name="_Toc152045549"/>
      <w:bookmarkStart w:id="207" w:name="_Toc296602439"/>
      <w:bookmarkStart w:id="208" w:name="_Toc144974517"/>
      <w:bookmarkStart w:id="209" w:name="_Toc247085708"/>
      <w:bookmarkStart w:id="210" w:name="_Toc246996937"/>
      <w:r>
        <w:rPr>
          <w:rFonts w:hint="eastAsia" w:ascii="方正仿宋_GBK" w:hAnsi="方正仿宋_GBK" w:eastAsia="方正仿宋_GBK" w:cs="方正仿宋_GBK"/>
          <w:color w:val="000000" w:themeColor="text1"/>
          <w:szCs w:val="21"/>
          <w:highlight w:val="none"/>
          <w14:textFill>
            <w14:solidFill>
              <w14:schemeClr w14:val="tx1"/>
            </w14:solidFill>
          </w14:textFill>
        </w:rPr>
        <w:t>17.1</w:t>
      </w:r>
      <w:bookmarkEnd w:id="203"/>
      <w:bookmarkEnd w:id="204"/>
      <w:bookmarkEnd w:id="205"/>
      <w:bookmarkEnd w:id="206"/>
      <w:bookmarkEnd w:id="207"/>
      <w:bookmarkEnd w:id="208"/>
      <w:bookmarkEnd w:id="209"/>
      <w:bookmarkEnd w:id="210"/>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须在《投标人须知前附表》规定的投标文件有效期内承诺投标文件有效，在此期间投标人不得要求撤销或修改其投标文件。若投标人未按照《投标人须知前附表》规定的投标文件有效期进行承诺，其投标文件按无效投标处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11" w:name="_Toc489197828"/>
      <w:bookmarkStart w:id="212" w:name="_Toc489145724"/>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18.</w:t>
      </w:r>
      <w:bookmarkEnd w:id="211"/>
      <w:bookmarkEnd w:id="212"/>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投标保证金</w:t>
      </w:r>
    </w:p>
    <w:p>
      <w:pPr>
        <w:spacing w:line="440" w:lineRule="exact"/>
        <w:ind w:firstLine="420" w:firstLineChars="200"/>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本项目投标人不需要缴纳投标保证金。</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13" w:name="_Toc489145725"/>
      <w:bookmarkStart w:id="214" w:name="_Toc489197829"/>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19.投标文件的编制</w:t>
      </w:r>
      <w:bookmarkEnd w:id="213"/>
      <w:bookmarkEnd w:id="214"/>
      <w:bookmarkStart w:id="215" w:name="_Toc296602442"/>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19.1</w:t>
      </w:r>
      <w:bookmarkEnd w:id="215"/>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投标人进行电子交易应安装客户端软件—“政采云电子交易客户端”，并按照招标文件和电子交易平台的要求编制并加密投标文件。投标人未按规定加密的投标文件，电子交易平台将拒收并提示。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19.2使用“政采云电子交易客户端”需要提前申领 CA 数字证书，申领流程见该项目采购公告附件。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19.3为确保网上操作合法、有效和安全，投标人应当在投标文件提交截止时间前完成在 “政府采购云平台”的身份认证，确保在电子交易过程中能够对相关数据电文进行加密和使用电子签名。</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19.4投标文件中提供的资料（包括扫描件）、关键内容必须清晰可辨，若出现字迹潦草、表达不清、未按要求填写而导致非唯一理解，视为未实质性响应招标文件，投标人投标文件将按无效处理。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19.5</w:t>
      </w:r>
      <w:r>
        <w:rPr>
          <w:rFonts w:hint="eastAsia" w:ascii="方正仿宋_GBK" w:hAnsi="方正仿宋_GBK" w:eastAsia="方正仿宋_GBK" w:cs="方正仿宋_GBK"/>
          <w:b/>
          <w:color w:val="000000" w:themeColor="text1"/>
          <w:szCs w:val="21"/>
          <w:highlight w:val="none"/>
          <w14:textFill>
            <w14:solidFill>
              <w14:schemeClr w14:val="tx1"/>
            </w14:solidFill>
          </w14:textFill>
        </w:rPr>
        <w:t>投标文件全部采用电子文档，除投标人须知前附表另有规定外，投标文件所附证书证件均为扫描件，并采用单位和个人数字证书，按招标文件要求在相应位置加盖电子签章。由投标人的法定代表人（单位负责人）签章，应附法定代表人（单位负责人）身份证明，由代理人签章，应附由法定代表人（单位负责人）签署的授权委托书。</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16" w:name="_Toc489145726"/>
      <w:bookmarkStart w:id="217" w:name="_Toc489197830"/>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20.投标报价和报价货币</w:t>
      </w:r>
      <w:bookmarkEnd w:id="216"/>
      <w:bookmarkEnd w:id="217"/>
      <w:bookmarkStart w:id="218" w:name="_Toc86124056"/>
      <w:bookmarkStart w:id="219" w:name="_Toc383175485"/>
      <w:bookmarkStart w:id="220" w:name="_Toc383175287"/>
      <w:bookmarkStart w:id="221" w:name="_Toc432194837"/>
      <w:bookmarkStart w:id="222" w:name="_Toc470507051"/>
      <w:bookmarkStart w:id="223" w:name="_Toc383175063"/>
      <w:bookmarkStart w:id="224" w:name="_Toc482343737"/>
      <w:bookmarkStart w:id="225" w:name="_Toc432106486"/>
      <w:bookmarkStart w:id="226" w:name="_Toc329810197"/>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20.1投标</w:t>
      </w:r>
      <w:bookmarkEnd w:id="218"/>
      <w:r>
        <w:rPr>
          <w:rFonts w:hint="eastAsia" w:ascii="方正仿宋_GBK" w:hAnsi="方正仿宋_GBK" w:eastAsia="方正仿宋_GBK" w:cs="方正仿宋_GBK"/>
          <w:color w:val="000000" w:themeColor="text1"/>
          <w:szCs w:val="21"/>
          <w:highlight w:val="none"/>
          <w14:textFill>
            <w14:solidFill>
              <w14:schemeClr w14:val="tx1"/>
            </w14:solidFill>
          </w14:textFill>
        </w:rPr>
        <w:t>人</w:t>
      </w:r>
      <w:bookmarkEnd w:id="219"/>
      <w:bookmarkEnd w:id="220"/>
      <w:bookmarkEnd w:id="221"/>
      <w:bookmarkEnd w:id="222"/>
      <w:bookmarkEnd w:id="223"/>
      <w:bookmarkEnd w:id="224"/>
      <w:bookmarkEnd w:id="225"/>
      <w:bookmarkEnd w:id="226"/>
      <w:r>
        <w:rPr>
          <w:rFonts w:hint="eastAsia" w:ascii="方正仿宋_GBK" w:hAnsi="方正仿宋_GBK" w:eastAsia="方正仿宋_GBK" w:cs="方正仿宋_GBK"/>
          <w:color w:val="000000" w:themeColor="text1"/>
          <w:szCs w:val="21"/>
          <w:highlight w:val="none"/>
          <w14:textFill>
            <w14:solidFill>
              <w14:schemeClr w14:val="tx1"/>
            </w14:solidFill>
          </w14:textFill>
        </w:rPr>
        <w:t>必须对所投标段内所有内容作出完整唯一的投标报价，不得缺项、漏项，否则投标文件将按无效标书处理。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20.2投标必须以包（标段）为单位，投标人可以对一个包（标段）或多个包（标段）进行投标，但必须是对所投包（标段）中的所有内容进行投标，不允许拆包（标段）投标。投标人的投标报价应报出总价和分项金额，当漏项未报价时，招标人将视为投标人已将价格包含至其他项内。投标总报价应包含所有服务价款。</w:t>
      </w:r>
    </w:p>
    <w:p>
      <w:pPr>
        <w:spacing w:line="440" w:lineRule="exact"/>
        <w:ind w:firstLine="422" w:firstLineChars="200"/>
        <w:jc w:val="left"/>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本项目采用费用包干形式，费用包括人力成本、设备成本、利润、税金、合同实施过程中的应预见和不可预见费用等全部费用的总和。投标人报价时必须自行考虑本项目在实施期间的一切可能产生的费用。在合同执行过程中，采购人将不再另行支付与本项目相关的任何费用，也不因市场价格变化等原因进行调整。以可调整的价格提交的投标将作为非响应性投标而予以拒绝。</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20.3投标报价应符合市场行情并能保证投标人完成履行合同所需的一切工作。合同一旦签订，此价格在合同实施期间将不因市场价格等的变化而调整。</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20.5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20.6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20.7报价货币为人民币。</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227" w:name="_Toc489197831"/>
      <w:bookmarkStart w:id="228" w:name="_Toc488633607"/>
      <w:bookmarkStart w:id="229" w:name="_Toc19280"/>
      <w:bookmarkStart w:id="230" w:name="_Toc16010"/>
      <w:bookmarkStart w:id="231" w:name="_Toc21384"/>
      <w:bookmarkStart w:id="232" w:name="_Toc23743"/>
      <w:bookmarkStart w:id="233" w:name="_Toc30328"/>
      <w:bookmarkStart w:id="234" w:name="_Toc489145727"/>
      <w:r>
        <w:rPr>
          <w:rFonts w:hint="eastAsia" w:ascii="方正仿宋_GBK" w:hAnsi="方正仿宋_GBK" w:eastAsia="方正仿宋_GBK" w:cs="方正仿宋_GBK"/>
          <w:color w:val="000000" w:themeColor="text1"/>
          <w:highlight w:val="none"/>
          <w14:textFill>
            <w14:solidFill>
              <w14:schemeClr w14:val="tx1"/>
            </w14:solidFill>
          </w14:textFill>
        </w:rPr>
        <w:t>四、投标</w:t>
      </w:r>
      <w:bookmarkEnd w:id="227"/>
      <w:bookmarkEnd w:id="228"/>
      <w:bookmarkEnd w:id="229"/>
      <w:bookmarkEnd w:id="230"/>
      <w:bookmarkEnd w:id="231"/>
      <w:bookmarkEnd w:id="232"/>
      <w:bookmarkEnd w:id="233"/>
      <w:bookmarkEnd w:id="234"/>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35" w:name="_Toc489197832"/>
      <w:bookmarkStart w:id="236" w:name="_Toc489145728"/>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21. 投标文</w:t>
      </w:r>
      <w:bookmarkStart w:id="237" w:name="_Toc296602443"/>
      <w:bookmarkStart w:id="238" w:name="_Toc401342137"/>
      <w:bookmarkStart w:id="239" w:name="_Toc378239081"/>
      <w:bookmarkStart w:id="240" w:name="_Toc378239173"/>
      <w:bookmarkStart w:id="241" w:name="_Toc480817646"/>
      <w:bookmarkStart w:id="242" w:name="_Toc378239354"/>
      <w:bookmarkStart w:id="243" w:name="_Toc4707"/>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件的密封</w:t>
      </w:r>
      <w:bookmarkEnd w:id="237"/>
      <w:bookmarkEnd w:id="238"/>
      <w:bookmarkEnd w:id="239"/>
      <w:bookmarkEnd w:id="240"/>
      <w:bookmarkEnd w:id="241"/>
      <w:bookmarkEnd w:id="242"/>
      <w:bookmarkEnd w:id="243"/>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和</w:t>
      </w:r>
      <w:bookmarkStart w:id="244" w:name="_Toc246996200"/>
      <w:bookmarkStart w:id="245" w:name="_Toc152042332"/>
      <w:bookmarkStart w:id="246" w:name="_Toc247085714"/>
      <w:bookmarkStart w:id="247" w:name="_Toc246996943"/>
      <w:bookmarkStart w:id="248" w:name="_Toc296602444"/>
      <w:bookmarkStart w:id="249" w:name="_Toc179632574"/>
      <w:bookmarkStart w:id="250" w:name="_Toc144974524"/>
      <w:bookmarkStart w:id="251" w:name="_Toc15204555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标记</w:t>
      </w:r>
      <w:bookmarkEnd w:id="235"/>
      <w:bookmarkEnd w:id="236"/>
    </w:p>
    <w:bookmarkEnd w:id="244"/>
    <w:bookmarkEnd w:id="245"/>
    <w:bookmarkEnd w:id="246"/>
    <w:bookmarkEnd w:id="247"/>
    <w:bookmarkEnd w:id="248"/>
    <w:bookmarkEnd w:id="249"/>
    <w:bookmarkEnd w:id="250"/>
    <w:bookmarkEnd w:id="251"/>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252" w:name="_Toc152042333"/>
      <w:bookmarkStart w:id="253" w:name="_Toc179632575"/>
      <w:bookmarkStart w:id="254" w:name="_Toc246996944"/>
      <w:bookmarkStart w:id="255" w:name="_Toc246996201"/>
      <w:bookmarkStart w:id="256" w:name="_Toc247085715"/>
      <w:bookmarkStart w:id="257" w:name="_Toc144974525"/>
      <w:bookmarkStart w:id="258" w:name="_Toc152045557"/>
      <w:r>
        <w:rPr>
          <w:rFonts w:hint="eastAsia" w:ascii="方正仿宋_GBK" w:hAnsi="方正仿宋_GBK" w:eastAsia="方正仿宋_GBK" w:cs="方正仿宋_GBK"/>
          <w:color w:val="000000" w:themeColor="text1"/>
          <w:szCs w:val="21"/>
          <w:highlight w:val="none"/>
          <w14:textFill>
            <w14:solidFill>
              <w14:schemeClr w14:val="tx1"/>
            </w14:solidFill>
          </w14:textFill>
        </w:rPr>
        <w:t>21.1投标文件的密封和标记：详见《投标人须知前附表》。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21.2逾期送达或者未按照招标文件要求密封的投标文件，采购人、采购代理机构有权拒收。</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59" w:name="_Toc489145729"/>
      <w:bookmarkStart w:id="260" w:name="_Toc489197833"/>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22. 投标文件的提交</w:t>
      </w:r>
      <w:bookmarkEnd w:id="259"/>
      <w:bookmarkEnd w:id="260"/>
    </w:p>
    <w:bookmarkEnd w:id="252"/>
    <w:bookmarkEnd w:id="253"/>
    <w:bookmarkEnd w:id="254"/>
    <w:bookmarkEnd w:id="255"/>
    <w:bookmarkEnd w:id="256"/>
    <w:bookmarkEnd w:id="257"/>
    <w:bookmarkEnd w:id="258"/>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261" w:name="_Toc296602445"/>
      <w:bookmarkStart w:id="262" w:name="_Toc489197834"/>
      <w:bookmarkStart w:id="263" w:name="_Toc489145730"/>
      <w:r>
        <w:rPr>
          <w:rFonts w:hint="eastAsia" w:ascii="方正仿宋_GBK" w:hAnsi="方正仿宋_GBK" w:eastAsia="方正仿宋_GBK" w:cs="方正仿宋_GBK"/>
          <w:color w:val="000000" w:themeColor="text1"/>
          <w:szCs w:val="21"/>
          <w:highlight w:val="none"/>
          <w14:textFill>
            <w14:solidFill>
              <w14:schemeClr w14:val="tx1"/>
            </w14:solidFill>
          </w14:textFill>
        </w:rPr>
        <w:t>22.1投标文件提</w:t>
      </w:r>
      <w:bookmarkEnd w:id="261"/>
      <w:r>
        <w:rPr>
          <w:rFonts w:hint="eastAsia" w:ascii="方正仿宋_GBK" w:hAnsi="方正仿宋_GBK" w:eastAsia="方正仿宋_GBK" w:cs="方正仿宋_GBK"/>
          <w:color w:val="000000" w:themeColor="text1"/>
          <w:szCs w:val="21"/>
          <w:highlight w:val="none"/>
          <w14:textFill>
            <w14:solidFill>
              <w14:schemeClr w14:val="tx1"/>
            </w14:solidFill>
          </w14:textFill>
        </w:rPr>
        <w:t>交截止时间、提交投标文件的地点：详见《投标人须知前附表》。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22.2 逾期送达或者未按照招标文件要求密封的投标文件，采购人、采购代理机构将拒收。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22.3 除《投标人须知前附表》另有规定外，投标人所提交的投标文件不予退还。</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23. 投标文件的补充、</w:t>
      </w:r>
      <w:bookmarkStart w:id="264" w:name="_Toc246996945"/>
      <w:bookmarkStart w:id="265" w:name="_Toc179632576"/>
      <w:bookmarkStart w:id="266" w:name="_Toc246996202"/>
      <w:bookmarkStart w:id="267" w:name="_Toc152045558"/>
      <w:bookmarkStart w:id="268" w:name="_Toc144974526"/>
      <w:bookmarkStart w:id="269" w:name="_Toc152042334"/>
      <w:bookmarkStart w:id="270" w:name="_Toc247085716"/>
      <w:bookmarkStart w:id="271" w:name="_Toc29660244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修改或者撤回</w:t>
      </w:r>
      <w:bookmarkEnd w:id="262"/>
      <w:bookmarkEnd w:id="263"/>
    </w:p>
    <w:bookmarkEnd w:id="264"/>
    <w:bookmarkEnd w:id="265"/>
    <w:bookmarkEnd w:id="266"/>
    <w:bookmarkEnd w:id="267"/>
    <w:bookmarkEnd w:id="268"/>
    <w:bookmarkEnd w:id="269"/>
    <w:bookmarkEnd w:id="270"/>
    <w:bookmarkEnd w:id="271"/>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272" w:name="_Toc489145731"/>
      <w:bookmarkStart w:id="273" w:name="_Toc488633608"/>
      <w:bookmarkStart w:id="274" w:name="_Toc489197835"/>
      <w:r>
        <w:rPr>
          <w:rFonts w:hint="eastAsia" w:ascii="方正仿宋_GBK" w:hAnsi="方正仿宋_GBK" w:eastAsia="方正仿宋_GBK" w:cs="方正仿宋_GBK"/>
          <w:color w:val="000000" w:themeColor="text1"/>
          <w:szCs w:val="21"/>
          <w:highlight w:val="none"/>
          <w14:textFill>
            <w14:solidFill>
              <w14:schemeClr w14:val="tx1"/>
            </w14:solidFill>
          </w14:textFill>
        </w:rPr>
        <w:t>23.1投标人在递交投标文件后，可以补充、修改或者撤回投标文件，但必须在规定的投标截止时间前完成投标文件的网上传输及递交。</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23.2 在投标截止时间之后，投标人不得对其投标文件做任何修改。</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23.3在投标截止时间至投标有效期期满之间的这段时间内，投标人不得撤回其投标文件。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23.4在投标截止时间前，除投标人补充、修改或者撤回投标文件外，任何单位和个人不得解密、提取投标文件。</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275" w:name="_Toc5121"/>
      <w:bookmarkStart w:id="276" w:name="_Toc8679"/>
      <w:bookmarkStart w:id="277" w:name="_Toc30820"/>
      <w:bookmarkStart w:id="278" w:name="_Toc27507"/>
      <w:bookmarkStart w:id="279" w:name="_Toc22760"/>
      <w:r>
        <w:rPr>
          <w:rFonts w:hint="eastAsia" w:ascii="方正仿宋_GBK" w:hAnsi="方正仿宋_GBK" w:eastAsia="方正仿宋_GBK" w:cs="方正仿宋_GBK"/>
          <w:color w:val="000000" w:themeColor="text1"/>
          <w:highlight w:val="none"/>
          <w14:textFill>
            <w14:solidFill>
              <w14:schemeClr w14:val="tx1"/>
            </w14:solidFill>
          </w14:textFill>
        </w:rPr>
        <w:t>五、开标</w:t>
      </w:r>
      <w:bookmarkEnd w:id="272"/>
      <w:bookmarkEnd w:id="273"/>
      <w:bookmarkEnd w:id="274"/>
      <w:bookmarkEnd w:id="275"/>
      <w:bookmarkEnd w:id="276"/>
      <w:bookmarkEnd w:id="277"/>
      <w:bookmarkEnd w:id="278"/>
      <w:bookmarkEnd w:id="279"/>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280" w:name="_Toc489197836"/>
      <w:bookmarkStart w:id="281" w:name="_Toc489145732"/>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24. 开标</w:t>
      </w:r>
      <w:bookmarkEnd w:id="280"/>
      <w:bookmarkEnd w:id="281"/>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282" w:name="_Toc179632577"/>
      <w:bookmarkStart w:id="283" w:name="_Toc247085717"/>
      <w:bookmarkStart w:id="284" w:name="_Toc401342138"/>
      <w:bookmarkStart w:id="285" w:name="_Toc246996203"/>
      <w:bookmarkStart w:id="286" w:name="_Toc378239174"/>
      <w:bookmarkStart w:id="287" w:name="_Toc480817647"/>
      <w:bookmarkStart w:id="288" w:name="_Toc144974527"/>
      <w:bookmarkStart w:id="289" w:name="_Toc378239082"/>
      <w:bookmarkStart w:id="290" w:name="_Toc152045559"/>
      <w:bookmarkStart w:id="291" w:name="_Toc246996946"/>
      <w:bookmarkStart w:id="292" w:name="_Toc152042335"/>
      <w:bookmarkStart w:id="293" w:name="_Toc29395"/>
      <w:bookmarkStart w:id="294" w:name="_Toc296602447"/>
      <w:bookmarkStart w:id="295" w:name="_Toc378239355"/>
      <w:r>
        <w:rPr>
          <w:rFonts w:hint="eastAsia" w:ascii="方正仿宋_GBK" w:hAnsi="方正仿宋_GBK" w:eastAsia="方正仿宋_GBK" w:cs="方正仿宋_GBK"/>
          <w:color w:val="000000" w:themeColor="text1"/>
          <w:szCs w:val="21"/>
          <w:highlight w:val="none"/>
          <w14:textFill>
            <w14:solidFill>
              <w14:schemeClr w14:val="tx1"/>
            </w14:solidFill>
          </w14:textFill>
        </w:rPr>
        <w:t>24.1</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Pr>
          <w:rFonts w:hint="eastAsia" w:ascii="方正仿宋_GBK" w:hAnsi="方正仿宋_GBK" w:eastAsia="方正仿宋_GBK" w:cs="方正仿宋_GBK"/>
          <w:color w:val="000000" w:themeColor="text1"/>
          <w:szCs w:val="21"/>
          <w:highlight w:val="none"/>
          <w14:textFill>
            <w14:solidFill>
              <w14:schemeClr w14:val="tx1"/>
            </w14:solidFill>
          </w14:textFill>
        </w:rPr>
        <w:t>采购代理机构将在“投标人须知前附表”规定的时间和地点进行开标，邀请各投标人的法定代表人或其委托代理人参加开标会，如投标人未参加开标的，视同认可开标结果。智能开标的按“政采云平台”的开标程序执行。</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24.2开标时，投标截止时间结束后参加投标的投标人不足三家的，停止开标。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24.3投标人代表对开标过程和开标记录有疑义，以及认为采购人、采购代理机构相关工作人员有需要回避的情形的，应当场提出询问或者回避申请。采购人、采购代理机构对投标人代表提出的询问或者回避申请将及时进行处理。（智能开标的需按系统提示进行）。</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24.4如投标人代表未参加开标或未对开标过程和开标记录提出异议，视同认可开标结果，由此产生的后果由投标人自行负责。</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24.5 开标程序：随机开启</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24.6投标文件解密：采购代理机构将在投标人须知前附表”规定的投标截止时间通过电子交易平台组织投标文件解密，采购机构依托电子交易平台发起开始解密指令，投标人的法定代表人或其委托代理人须携带加密时所用的 CA 锁按平台提示和采购文件的规定登录到“政采云”平台电子开标大厅签到，并在发起解密指令之时起 60 分钟内完成对电子投标文件在线解密，未在规定时间进行解密的视为撤回投标文件。发起解密指令之时起5分钟内投标人还未进行解密的，代理机构可通知投标人，投标人未预留联系方式或预留联系方式无效，导致代理机构无法联系到投标人进行解密的，视为撤回投标文件。（解密异常情况处理：详见本章24.7 电子交易活动的中止。） 如投标人成功解密投标文件，但未在“政采云”电子开标大厅参加开标的，视同认可开标过程和结果，由此产生的后果由投标人自行负责。</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24.7电子交易活动的中止。采购过程中出现以下情形，导致电子交易平台无法正常运行，或者无法保证电子交易的公平、公正和安全时，采购机构可中止电子交易活动：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（1）电子交易平台发生故障而无法登录访问的；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（2）电子交易平台应用或数据库出现错误，不能进行正常操作的；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（3）电子交易平台发现严重安全漏洞，有潜在泄密危险的；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（4）病毒发作导致不能进行正常操作的；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（5）其他无法保证电子交易的公平、公正和安全的情况。</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24.8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24.9投标文件报价出现前后不一致的，按照下列规定修正：</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（2）大写金额和小写金额不一致的，以大写金额为准；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（3）单价金额小数点或者百分比有明显错位的，以开标一览表的总价为准，并修改单价；</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（4）总价金额与按单价汇总金额不一致的，以单价金额计算结果为准。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296" w:name="_Toc14998"/>
      <w:bookmarkStart w:id="297" w:name="_Toc489145733"/>
      <w:bookmarkStart w:id="298" w:name="_Toc488633609"/>
      <w:bookmarkStart w:id="299" w:name="_Toc20125"/>
      <w:bookmarkStart w:id="300" w:name="_Toc489197837"/>
      <w:bookmarkStart w:id="301" w:name="_Toc21476"/>
      <w:bookmarkStart w:id="302" w:name="_Toc18906"/>
      <w:bookmarkStart w:id="303" w:name="_Toc24397"/>
      <w:r>
        <w:rPr>
          <w:rFonts w:hint="eastAsia" w:ascii="方正仿宋_GBK" w:hAnsi="方正仿宋_GBK" w:eastAsia="方正仿宋_GBK" w:cs="方正仿宋_GBK"/>
          <w:color w:val="000000" w:themeColor="text1"/>
          <w:highlight w:val="none"/>
          <w14:textFill>
            <w14:solidFill>
              <w14:schemeClr w14:val="tx1"/>
            </w14:solidFill>
          </w14:textFill>
        </w:rPr>
        <w:t>六、评标</w:t>
      </w:r>
      <w:bookmarkEnd w:id="296"/>
      <w:bookmarkEnd w:id="297"/>
      <w:bookmarkEnd w:id="298"/>
      <w:bookmarkEnd w:id="299"/>
      <w:bookmarkEnd w:id="300"/>
      <w:bookmarkEnd w:id="301"/>
      <w:bookmarkEnd w:id="302"/>
      <w:bookmarkEnd w:id="303"/>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04" w:name="_Toc489145734"/>
      <w:bookmarkStart w:id="305" w:name="_Toc489197838"/>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25. 评标</w:t>
      </w:r>
      <w:bookmarkEnd w:id="304"/>
      <w:bookmarkEnd w:id="305"/>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306" w:name="_Toc246996949"/>
      <w:bookmarkStart w:id="307" w:name="_Toc296602451"/>
      <w:bookmarkStart w:id="308" w:name="_Toc401342139"/>
      <w:bookmarkStart w:id="309" w:name="_Toc152045562"/>
      <w:bookmarkStart w:id="310" w:name="_Toc179632580"/>
      <w:bookmarkStart w:id="311" w:name="_Toc378239356"/>
      <w:bookmarkStart w:id="312" w:name="_Toc152042338"/>
      <w:bookmarkStart w:id="313" w:name="_Toc378239175"/>
      <w:bookmarkStart w:id="314" w:name="_Toc480817648"/>
      <w:bookmarkStart w:id="315" w:name="_Toc247085720"/>
      <w:bookmarkStart w:id="316" w:name="_Toc144974530"/>
      <w:bookmarkStart w:id="317" w:name="_Toc1045"/>
      <w:bookmarkStart w:id="318" w:name="_Toc246996206"/>
      <w:bookmarkStart w:id="319" w:name="_Toc378239083"/>
      <w:r>
        <w:rPr>
          <w:rFonts w:hint="eastAsia" w:ascii="方正仿宋_GBK" w:hAnsi="方正仿宋_GBK" w:eastAsia="方正仿宋_GBK" w:cs="方正仿宋_GBK"/>
          <w:color w:val="000000" w:themeColor="text1"/>
          <w:szCs w:val="21"/>
          <w:highlight w:val="none"/>
          <w14:textFill>
            <w14:solidFill>
              <w14:schemeClr w14:val="tx1"/>
            </w14:solidFill>
          </w14:textFill>
        </w:rPr>
        <w:t>25.1</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方正仿宋_GBK" w:hAnsi="方正仿宋_GBK" w:eastAsia="方正仿宋_GBK" w:cs="方正仿宋_GBK"/>
          <w:color w:val="000000" w:themeColor="text1"/>
          <w:szCs w:val="21"/>
          <w:highlight w:val="none"/>
          <w14:textFill>
            <w14:solidFill>
              <w14:schemeClr w14:val="tx1"/>
            </w14:solidFill>
          </w14:textFill>
        </w:rPr>
        <w:t>开</w:t>
      </w:r>
      <w:bookmarkStart w:id="320" w:name="_Toc152045563"/>
      <w:bookmarkStart w:id="321" w:name="_Toc152042339"/>
      <w:bookmarkStart w:id="322" w:name="_Toc296602452"/>
      <w:bookmarkStart w:id="323" w:name="_Toc246996950"/>
      <w:bookmarkStart w:id="324" w:name="_Toc247085721"/>
      <w:bookmarkStart w:id="325" w:name="_Toc179632581"/>
      <w:bookmarkStart w:id="326" w:name="_Toc144974531"/>
      <w:bookmarkStart w:id="327" w:name="_Toc246996207"/>
      <w:r>
        <w:rPr>
          <w:rFonts w:hint="eastAsia" w:ascii="方正仿宋_GBK" w:hAnsi="方正仿宋_GBK" w:eastAsia="方正仿宋_GBK" w:cs="方正仿宋_GBK"/>
          <w:color w:val="000000" w:themeColor="text1"/>
          <w:szCs w:val="21"/>
          <w:highlight w:val="none"/>
          <w14:textFill>
            <w14:solidFill>
              <w14:schemeClr w14:val="tx1"/>
            </w14:solidFill>
          </w14:textFill>
        </w:rPr>
        <w:t>标结束后，采</w:t>
      </w:r>
      <w:bookmarkEnd w:id="320"/>
      <w:bookmarkEnd w:id="321"/>
      <w:bookmarkEnd w:id="322"/>
      <w:bookmarkEnd w:id="323"/>
      <w:bookmarkEnd w:id="324"/>
      <w:bookmarkEnd w:id="325"/>
      <w:bookmarkEnd w:id="326"/>
      <w:bookmarkEnd w:id="327"/>
      <w:r>
        <w:rPr>
          <w:rFonts w:hint="eastAsia" w:ascii="方正仿宋_GBK" w:hAnsi="方正仿宋_GBK" w:eastAsia="方正仿宋_GBK" w:cs="方正仿宋_GBK"/>
          <w:color w:val="000000" w:themeColor="text1"/>
          <w:szCs w:val="21"/>
          <w:highlight w:val="none"/>
          <w14:textFill>
            <w14:solidFill>
              <w14:schemeClr w14:val="tx1"/>
            </w14:solidFill>
          </w14:textFill>
        </w:rPr>
        <w:t>购人或者采购代理机构将根据招标文件规定，依法对投标人的资格进行审查。合格投标人不足3家的，不得评标。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25.2评标委员会由采购人代表和评审专家组成，成员人数为5人以上单数，其中评审专家不得少于成员总数的三分之二。评标委员会应当推选组长，但采购人代表不得担任组长。</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评标委员会负责具体评标事务，并独立履行下列职责：</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（一）审查、评价投标文件是否符合招标文件的商务、技术等实质性要求；</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（二）要求投标人对投标文件有关事项作出澄清或者说明；</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（三）对投标文件进行比较和评价；</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（四）确定中标候选人名单，以及根据采购人委托直接确定中标人；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（五）向采购人、采购代理机构或者有关部门报告评标中发现的违法行为。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25.3采购人委派代表参加评标委员会的，要向采购代理机构出具授权函。除授权代表外，采购人可以委派纪检监察等相关人员进入评审现场，对评审工作实施监督，但不得超过2人。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25.4评标活动遵循公平</w:t>
      </w:r>
      <w:bookmarkStart w:id="328" w:name="_Toc152045565"/>
      <w:bookmarkStart w:id="329" w:name="_Toc246996952"/>
      <w:bookmarkStart w:id="330" w:name="_Toc152042341"/>
      <w:bookmarkStart w:id="331" w:name="_Toc247085723"/>
      <w:bookmarkStart w:id="332" w:name="_Toc246996209"/>
      <w:bookmarkStart w:id="333" w:name="_Toc144974533"/>
      <w:bookmarkStart w:id="334" w:name="_Toc179632583"/>
      <w:bookmarkStart w:id="335" w:name="_Toc296602454"/>
      <w:r>
        <w:rPr>
          <w:rFonts w:hint="eastAsia" w:ascii="方正仿宋_GBK" w:hAnsi="方正仿宋_GBK" w:eastAsia="方正仿宋_GBK" w:cs="方正仿宋_GBK"/>
          <w:color w:val="000000" w:themeColor="text1"/>
          <w:szCs w:val="21"/>
          <w:highlight w:val="none"/>
          <w14:textFill>
            <w14:solidFill>
              <w14:schemeClr w14:val="tx1"/>
            </w14:solidFill>
          </w14:textFill>
        </w:rPr>
        <w:t>、公正、科学和择优的原则。</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25.5评标委员会各成员</w:t>
      </w:r>
      <w:bookmarkEnd w:id="328"/>
      <w:bookmarkEnd w:id="329"/>
      <w:bookmarkEnd w:id="330"/>
      <w:bookmarkEnd w:id="331"/>
      <w:bookmarkEnd w:id="332"/>
      <w:bookmarkEnd w:id="333"/>
      <w:bookmarkEnd w:id="334"/>
      <w:bookmarkEnd w:id="335"/>
      <w:r>
        <w:rPr>
          <w:rFonts w:hint="eastAsia" w:ascii="方正仿宋_GBK" w:hAnsi="方正仿宋_GBK" w:eastAsia="方正仿宋_GBK" w:cs="方正仿宋_GBK"/>
          <w:color w:val="000000" w:themeColor="text1"/>
          <w:szCs w:val="21"/>
          <w:highlight w:val="none"/>
          <w14:textFill>
            <w14:solidFill>
              <w14:schemeClr w14:val="tx1"/>
            </w14:solidFill>
          </w14:textFill>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25.6评标过程的保密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336" w:name="_Toc417913976"/>
      <w:r>
        <w:rPr>
          <w:rFonts w:hint="eastAsia" w:ascii="方正仿宋_GBK" w:hAnsi="方正仿宋_GBK" w:eastAsia="方正仿宋_GBK" w:cs="方正仿宋_GBK"/>
          <w:color w:val="000000" w:themeColor="text1"/>
          <w:szCs w:val="21"/>
          <w:highlight w:val="none"/>
          <w14:textFill>
            <w14:solidFill>
              <w14:schemeClr w14:val="tx1"/>
            </w14:solidFill>
          </w14:textFill>
        </w:rPr>
        <w:t>25.6.1评标在严格</w:t>
      </w:r>
      <w:bookmarkEnd w:id="336"/>
      <w:r>
        <w:rPr>
          <w:rFonts w:hint="eastAsia" w:ascii="方正仿宋_GBK" w:hAnsi="方正仿宋_GBK" w:eastAsia="方正仿宋_GBK" w:cs="方正仿宋_GBK"/>
          <w:color w:val="000000" w:themeColor="text1"/>
          <w:szCs w:val="21"/>
          <w:highlight w:val="none"/>
          <w14:textFill>
            <w14:solidFill>
              <w14:schemeClr w14:val="tx1"/>
            </w14:solidFill>
          </w14:textFill>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章。投标人的澄清、说明或者补正不得超出投标文件的范围或者改变投标文件的实质性内容。</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37" w:name="_Toc489197839"/>
      <w:bookmarkStart w:id="338" w:name="_Toc489145735"/>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★26.有下列情形之一的，视为投标人串通投标，其投标无效：</w:t>
      </w:r>
      <w:bookmarkEnd w:id="337"/>
      <w:bookmarkEnd w:id="338"/>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（1）不同投标人的投标文件由同一单位或者个人编制；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（2）不同投标人委托同一单位或者个人办理投标事宜；</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（3）不同投标人的投标文件载明的项目管理成员或者联系人员为同一人；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（4）不同投标人的投标文件异常一致或者投标报价呈规律性差异；</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（5）不同投标人的投标文件相互混装；</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投标人应当遵循公平竞争的原则，不得恶意串通，不得妨碍其他投标人的竞争行为，不得损害采购人或者其他投标人的合法权益。</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在评标过程中发现投标人有上述情形的，评标委员会应当认定其投标无效，并书面报告本级财政部门。</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39" w:name="_Toc489197840"/>
      <w:bookmarkStart w:id="340" w:name="_Toc48914573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★27. 投标人存在下列情</w:t>
      </w:r>
      <w:bookmarkStart w:id="341" w:name="_Toc417913977"/>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况之一的，投标无效：</w:t>
      </w:r>
      <w:bookmarkEnd w:id="339"/>
      <w:bookmarkEnd w:id="340"/>
    </w:p>
    <w:bookmarkEnd w:id="341"/>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（1）投标文件未按招标文件要求签署、盖章的；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（2）不具备招标文件中规定的资格要求的；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（3）报价超过招标文件中规定的预算金额或者最高限价的；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（4）投标文件含有采购人不能接受的附加条件的；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（5）法律、法规和招标文件规定的其他无效情形。</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42" w:name="_Toc489145737"/>
      <w:bookmarkStart w:id="343" w:name="_Toc489197841"/>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28. 在招标采购中，出现下列情形之一的，应予废标：</w:t>
      </w:r>
      <w:bookmarkEnd w:id="342"/>
      <w:bookmarkEnd w:id="343"/>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（1）符合专业条件的投标人或者对招标文件作实质响应的投标人不足三家的；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（2）出现影响采购公正的违法、违规行为的；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（3）投标人的报价均超过了采购预算，采购人不能支付的；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（4）因重大变故，采购任务取消的。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废标后，采购人应当将废标理由通知所有投标人。</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344" w:name="_Toc19127"/>
      <w:bookmarkStart w:id="345" w:name="_Toc489145738"/>
      <w:bookmarkStart w:id="346" w:name="_Toc531341340"/>
      <w:bookmarkStart w:id="347" w:name="_Toc26650"/>
      <w:bookmarkStart w:id="348" w:name="_Toc24052"/>
      <w:bookmarkStart w:id="349" w:name="_Toc488633610"/>
      <w:bookmarkStart w:id="350" w:name="_Toc22787"/>
      <w:bookmarkStart w:id="351" w:name="_Toc489197842"/>
      <w:bookmarkStart w:id="352" w:name="_Toc9677"/>
      <w:bookmarkStart w:id="353" w:name="_Toc489197845"/>
      <w:bookmarkStart w:id="354" w:name="_Toc489145741"/>
      <w:bookmarkStart w:id="355" w:name="_Toc152045570"/>
      <w:bookmarkStart w:id="356" w:name="_Toc246996957"/>
      <w:bookmarkStart w:id="357" w:name="_Toc246996214"/>
      <w:bookmarkStart w:id="358" w:name="_Toc179632588"/>
      <w:bookmarkStart w:id="359" w:name="_Toc144974538"/>
      <w:bookmarkStart w:id="360" w:name="_Toc296602460"/>
      <w:bookmarkStart w:id="361" w:name="_Toc247085728"/>
      <w:bookmarkStart w:id="362" w:name="_Toc152042346"/>
      <w:r>
        <w:rPr>
          <w:rFonts w:hint="eastAsia" w:ascii="方正仿宋_GBK" w:hAnsi="方正仿宋_GBK" w:eastAsia="方正仿宋_GBK" w:cs="方正仿宋_GBK"/>
          <w:color w:val="000000" w:themeColor="text1"/>
          <w:highlight w:val="none"/>
          <w14:textFill>
            <w14:solidFill>
              <w14:schemeClr w14:val="tx1"/>
            </w14:solidFill>
          </w14:textFill>
        </w:rPr>
        <w:t>七、中标结果</w:t>
      </w:r>
      <w:bookmarkEnd w:id="344"/>
      <w:bookmarkEnd w:id="345"/>
      <w:bookmarkEnd w:id="346"/>
      <w:bookmarkEnd w:id="347"/>
      <w:bookmarkEnd w:id="348"/>
      <w:bookmarkEnd w:id="349"/>
      <w:bookmarkEnd w:id="350"/>
      <w:bookmarkEnd w:id="351"/>
      <w:bookmarkEnd w:id="352"/>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63" w:name="_Toc489197843"/>
      <w:bookmarkStart w:id="364" w:name="_Toc489145739"/>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29. 中</w:t>
      </w:r>
      <w:bookmarkStart w:id="365" w:name="_Toc247085724"/>
      <w:bookmarkStart w:id="366" w:name="_Toc144974534"/>
      <w:bookmarkStart w:id="367" w:name="_Toc378239176"/>
      <w:bookmarkStart w:id="368" w:name="_Toc378239084"/>
      <w:bookmarkStart w:id="369" w:name="_Toc296602455"/>
      <w:bookmarkStart w:id="370" w:name="_Toc152045566"/>
      <w:bookmarkStart w:id="371" w:name="_Toc152042342"/>
      <w:bookmarkStart w:id="372" w:name="_Toc378239357"/>
      <w:bookmarkStart w:id="373" w:name="_Toc246996210"/>
      <w:bookmarkStart w:id="374" w:name="_Toc401342140"/>
      <w:bookmarkStart w:id="375" w:name="_Toc179632584"/>
      <w:bookmarkStart w:id="376" w:name="_Toc246996953"/>
      <w:bookmarkStart w:id="377" w:name="_Toc13517"/>
      <w:bookmarkStart w:id="378" w:name="_Toc480817649"/>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标</w:t>
      </w:r>
      <w:bookmarkEnd w:id="365"/>
      <w:bookmarkEnd w:id="366"/>
      <w:bookmarkEnd w:id="367"/>
      <w:bookmarkEnd w:id="368"/>
      <w:bookmarkEnd w:id="369"/>
      <w:bookmarkEnd w:id="370"/>
      <w:bookmarkEnd w:id="371"/>
      <w:bookmarkEnd w:id="372"/>
      <w:bookmarkEnd w:id="373"/>
      <w:bookmarkEnd w:id="374"/>
      <w:bookmarkEnd w:id="375"/>
      <w:bookmarkEnd w:id="37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人的</w:t>
      </w:r>
      <w:bookmarkEnd w:id="377"/>
      <w:bookmarkEnd w:id="378"/>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确</w:t>
      </w:r>
      <w:bookmarkStart w:id="379" w:name="_Toc246996211"/>
      <w:bookmarkStart w:id="380" w:name="_Toc152042343"/>
      <w:bookmarkStart w:id="381" w:name="_Toc246996954"/>
      <w:bookmarkStart w:id="382" w:name="_Toc296602456"/>
      <w:bookmarkStart w:id="383" w:name="_Toc144974535"/>
      <w:bookmarkStart w:id="384" w:name="_Toc179632585"/>
      <w:bookmarkStart w:id="385" w:name="_Toc247085725"/>
      <w:bookmarkStart w:id="386" w:name="_Toc152045567"/>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定</w:t>
      </w:r>
      <w:bookmarkEnd w:id="363"/>
      <w:bookmarkEnd w:id="364"/>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w:t>
      </w:r>
      <w:bookmarkStart w:id="387" w:name="_Toc417913979"/>
      <w:r>
        <w:rPr>
          <w:rFonts w:hint="eastAsia" w:ascii="方正仿宋_GBK" w:hAnsi="方正仿宋_GBK" w:eastAsia="方正仿宋_GBK" w:cs="方正仿宋_GBK"/>
          <w:color w:val="000000" w:themeColor="text1"/>
          <w:szCs w:val="21"/>
          <w:highlight w:val="none"/>
          <w14:textFill>
            <w14:solidFill>
              <w14:schemeClr w14:val="tx1"/>
            </w14:solidFill>
          </w14:textFill>
        </w:rPr>
        <w:t>9.1采购代理机构应</w:t>
      </w:r>
      <w:bookmarkEnd w:id="379"/>
      <w:bookmarkEnd w:id="380"/>
      <w:bookmarkEnd w:id="381"/>
      <w:bookmarkEnd w:id="382"/>
      <w:bookmarkEnd w:id="383"/>
      <w:bookmarkEnd w:id="384"/>
      <w:bookmarkEnd w:id="385"/>
      <w:bookmarkEnd w:id="386"/>
      <w:bookmarkEnd w:id="387"/>
      <w:r>
        <w:rPr>
          <w:rFonts w:hint="eastAsia" w:ascii="方正仿宋_GBK" w:hAnsi="方正仿宋_GBK" w:eastAsia="方正仿宋_GBK" w:cs="方正仿宋_GBK"/>
          <w:color w:val="000000" w:themeColor="text1"/>
          <w:szCs w:val="21"/>
          <w:highlight w:val="none"/>
          <w14:textFill>
            <w14:solidFill>
              <w14:schemeClr w14:val="tx1"/>
            </w14:solidFill>
          </w14:textFill>
        </w:rPr>
        <w:t>当在评标结束后2个工作日内将评标报告送采购人。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29.2采购人应当自收到评标报告之日起5个工作日内，在评标报告确定的中标候选人名单中按顺序确定中标人。</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88" w:name="_Toc489145740"/>
      <w:bookmarkStart w:id="389" w:name="_Toc489197844"/>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30. 中标通知书</w:t>
      </w:r>
      <w:bookmarkEnd w:id="388"/>
      <w:bookmarkEnd w:id="389"/>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390" w:name="_Toc246996955"/>
      <w:bookmarkStart w:id="391" w:name="_Toc246996212"/>
      <w:bookmarkStart w:id="392" w:name="_Toc179632586"/>
      <w:bookmarkStart w:id="393" w:name="_Toc296602458"/>
      <w:bookmarkStart w:id="394" w:name="_Toc152045568"/>
      <w:bookmarkStart w:id="395" w:name="_Toc247085726"/>
      <w:bookmarkStart w:id="396" w:name="_Toc152042344"/>
      <w:bookmarkStart w:id="397" w:name="_Toc144974536"/>
      <w:r>
        <w:rPr>
          <w:rFonts w:hint="eastAsia" w:ascii="方正仿宋_GBK" w:hAnsi="方正仿宋_GBK" w:eastAsia="方正仿宋_GBK" w:cs="方正仿宋_GBK"/>
          <w:color w:val="000000" w:themeColor="text1"/>
          <w:szCs w:val="21"/>
          <w:highlight w:val="none"/>
          <w14:textFill>
            <w14:solidFill>
              <w14:schemeClr w14:val="tx1"/>
            </w14:solidFill>
          </w14:textFill>
        </w:rPr>
        <w:t>30.1中标人确定之</w:t>
      </w:r>
      <w:bookmarkEnd w:id="390"/>
      <w:bookmarkEnd w:id="391"/>
      <w:bookmarkEnd w:id="392"/>
      <w:bookmarkEnd w:id="393"/>
      <w:bookmarkEnd w:id="394"/>
      <w:bookmarkEnd w:id="395"/>
      <w:bookmarkEnd w:id="396"/>
      <w:bookmarkEnd w:id="397"/>
      <w:r>
        <w:rPr>
          <w:rFonts w:hint="eastAsia" w:ascii="方正仿宋_GBK" w:hAnsi="方正仿宋_GBK" w:eastAsia="方正仿宋_GBK" w:cs="方正仿宋_GBK"/>
          <w:color w:val="000000" w:themeColor="text1"/>
          <w:szCs w:val="21"/>
          <w:highlight w:val="none"/>
          <w14:textFill>
            <w14:solidFill>
              <w14:schemeClr w14:val="tx1"/>
            </w14:solidFill>
          </w14:textFill>
        </w:rPr>
        <w:t>日起2个工作日内，采购代理机构向中标人发出中标通知书，并在财政部门指定的政府采购信息发布媒体上公告中标结果。中标公告期限为1个工作日。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30.2中标通知书是合同的一个组成部分，在公告中标结果的同时，采购人或者采购代理机构应当向中标人发出中标通知书。</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31. 签订合同</w:t>
      </w:r>
      <w:bookmarkEnd w:id="353"/>
      <w:bookmarkEnd w:id="354"/>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31.1采购人应当自中</w:t>
      </w:r>
      <w:bookmarkEnd w:id="355"/>
      <w:bookmarkEnd w:id="356"/>
      <w:bookmarkEnd w:id="357"/>
      <w:bookmarkEnd w:id="358"/>
      <w:bookmarkEnd w:id="359"/>
      <w:bookmarkEnd w:id="360"/>
      <w:bookmarkEnd w:id="361"/>
      <w:bookmarkEnd w:id="362"/>
      <w:r>
        <w:rPr>
          <w:rFonts w:hint="eastAsia" w:ascii="方正仿宋_GBK" w:hAnsi="方正仿宋_GBK" w:eastAsia="方正仿宋_GBK" w:cs="方正仿宋_GBK"/>
          <w:color w:val="000000" w:themeColor="text1"/>
          <w:szCs w:val="21"/>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任何一方均不得谋求强制对方更改双方在招投标过程中所作出的实质性承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31.2中标通知书发出后，中标人无正当理由放弃中标或拒签合同的，采购人取消其中标资格；给采购人造成的损失超过投标保证金数额的，中标人还应当对超过部分予以赔偿，并依法承担相应的法律责任。</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31.4政府采购合同应当包括采购人与中标人的名称和住所、标的、数量、质量、价款或者报酬、履行期限及地点和方式、验收要求、违约责任、解决争议的方法等内容。</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31.5政府采购合同履行中，采购人需追加与合同标的相同的货物、工程或者服务的，在不改变合同其他条款的前提下，可以与中标人协商签订补充合同，但所有补充合同的采购金额不得超过原合同采购金额的10%。</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398" w:name="_Toc489145742"/>
      <w:bookmarkStart w:id="399" w:name="_Toc489197846"/>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32. 履约保证金</w:t>
      </w:r>
      <w:bookmarkEnd w:id="398"/>
      <w:bookmarkEnd w:id="399"/>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w:t>
      </w:r>
      <w:bookmarkStart w:id="400" w:name="_Toc417913982"/>
      <w:r>
        <w:rPr>
          <w:rFonts w:hint="eastAsia" w:ascii="方正仿宋_GBK" w:hAnsi="方正仿宋_GBK" w:eastAsia="方正仿宋_GBK" w:cs="方正仿宋_GBK"/>
          <w:color w:val="000000" w:themeColor="text1"/>
          <w:szCs w:val="21"/>
          <w:highlight w:val="none"/>
          <w14:textFill>
            <w14:solidFill>
              <w14:schemeClr w14:val="tx1"/>
            </w14:solidFill>
          </w14:textFill>
        </w:rPr>
        <w:t>2.1签</w:t>
      </w:r>
      <w:bookmarkEnd w:id="400"/>
      <w:r>
        <w:rPr>
          <w:rFonts w:hint="eastAsia" w:ascii="方正仿宋_GBK" w:hAnsi="方正仿宋_GBK" w:eastAsia="方正仿宋_GBK" w:cs="方正仿宋_GBK"/>
          <w:color w:val="000000" w:themeColor="text1"/>
          <w:szCs w:val="21"/>
          <w:highlight w:val="none"/>
          <w14:textFill>
            <w14:solidFill>
              <w14:schemeClr w14:val="tx1"/>
            </w14:solidFill>
          </w14:textFill>
        </w:rPr>
        <w:t>订合同前，中标人应按《投标人须知前附表》上确定的履约保证金的金额及形式，向采购人提交履约保证金，联合体中标的，其履约保证金由牵头人递交。否则，视为放弃中标项目，投标保证金将不予退还，并依法承担相应的法律责任。</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32.2签订合同后，如中标人不按双方签订合同约定履约，则没收其全部履约保证金，给采购人造成的损失超过履约保证金数额的，中标人还应当对超过部分予以赔偿，并依法承担相应的法律责任。</w:t>
      </w:r>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401" w:name="_Toc24343"/>
      <w:bookmarkStart w:id="402" w:name="_Toc488633611"/>
      <w:bookmarkStart w:id="403" w:name="_Toc19542"/>
      <w:bookmarkStart w:id="404" w:name="_Toc489145743"/>
      <w:bookmarkStart w:id="405" w:name="_Toc15029"/>
      <w:bookmarkStart w:id="406" w:name="_Toc29108"/>
      <w:bookmarkStart w:id="407" w:name="_Toc489197847"/>
      <w:bookmarkStart w:id="408" w:name="_Toc6928"/>
      <w:r>
        <w:rPr>
          <w:rFonts w:hint="eastAsia" w:ascii="方正仿宋_GBK" w:hAnsi="方正仿宋_GBK" w:eastAsia="方正仿宋_GBK" w:cs="方正仿宋_GBK"/>
          <w:color w:val="000000" w:themeColor="text1"/>
          <w:highlight w:val="none"/>
          <w14:textFill>
            <w14:solidFill>
              <w14:schemeClr w14:val="tx1"/>
            </w14:solidFill>
          </w14:textFill>
        </w:rPr>
        <w:t>八、其他事项</w:t>
      </w:r>
      <w:bookmarkEnd w:id="401"/>
      <w:bookmarkEnd w:id="402"/>
      <w:bookmarkEnd w:id="403"/>
      <w:bookmarkEnd w:id="404"/>
      <w:bookmarkEnd w:id="405"/>
      <w:bookmarkEnd w:id="406"/>
      <w:bookmarkEnd w:id="407"/>
      <w:bookmarkEnd w:id="408"/>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409" w:name="_Toc489145744"/>
      <w:bookmarkStart w:id="410" w:name="_Toc489197848"/>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33.中标服务费</w:t>
      </w:r>
      <w:bookmarkEnd w:id="409"/>
      <w:bookmarkEnd w:id="410"/>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33.1参照《云南省建设工程招标代理服务收费参考意见》的通知（云建招协〔2024〕58号）文件中标价计取下浮20%收取，中标人在领取中标通知书前向采购代理机构支付。</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33.2中标人应在接受“中标通知书”前向采购代理机构一次付清中标服务费。</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411" w:name="_Toc489197849"/>
      <w:bookmarkStart w:id="412" w:name="_Toc489145745"/>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34. 招标文件编制依据</w:t>
      </w:r>
      <w:bookmarkEnd w:id="411"/>
      <w:bookmarkEnd w:id="412"/>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34.1本招标文件根据《中华人民共和国政府采购法》《中华人民共和国政府采购法实施条例》《政府采购货物和服务招标投标管理办法》（财政部令第87号）等有关法律法规编制，解释权属于采购人、采购代理机构。</w:t>
      </w:r>
    </w:p>
    <w:p>
      <w:pPr>
        <w:spacing w:line="440" w:lineRule="exact"/>
        <w:jc w:val="lef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bookmarkStart w:id="413" w:name="_Toc489197850"/>
      <w:bookmarkStart w:id="414" w:name="_Toc489145746"/>
      <w:bookmarkStart w:id="415" w:name="_Toc489145747"/>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35.需要补充的其他内容</w:t>
      </w:r>
      <w:bookmarkEnd w:id="413"/>
      <w:bookmarkEnd w:id="414"/>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35.1关于中小企业：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35.1.1根据《政府采购促进中小企业发展管理办法》（财库〔2020〕46号）及《关于进一步加大政府采购支持中小企业力度的通知》（财库〔2022〕19号）的规定，在政府采购活动中，供应商提供的货物、工程或者服务符合下列情形的，享受中小企业扶持政策：</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（一）在货物采购项目中，货物由中小企业制造，即货物由中小企业生产且使用该中小企业商号或者注册商标；</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（二）在工程采购项目中，工程由中小企业承建，即工程施工单位为中小企业；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在货物采购项目中，供应商提供的货物既有中小企业制造货物，也有大型企业制造货物的，不享受本办法规定的中小企业扶持政策。</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35.1.2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35.1.3投标人应当按照《政府采购促进中小企业发展管理办法》规定和《中小企业划型标准规定》（工信部联企业〔2011〕300号），如实填写并提交《中小企业声明函》，对提交的《中小企业声明函》的真实性负责。提交的《中小企业声明函》不真实的，应承担相应的法律责任。</w:t>
      </w:r>
    </w:p>
    <w:p>
      <w:pPr>
        <w:spacing w:line="440" w:lineRule="exact"/>
        <w:ind w:firstLine="422" w:firstLineChars="200"/>
        <w:jc w:val="left"/>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35.1.</w:t>
      </w:r>
      <w:r>
        <w:rPr>
          <w:rFonts w:hint="eastAsia" w:ascii="方正仿宋_GBK" w:hAnsi="方正仿宋_GBK" w:eastAsia="方正仿宋_GBK" w:cs="方正仿宋_GBK"/>
          <w:b/>
          <w:bCs/>
          <w:color w:val="000000" w:themeColor="text1"/>
          <w:szCs w:val="21"/>
          <w:highlight w:val="none"/>
          <w:lang w:val="en-US" w:eastAsia="zh-CN"/>
          <w14:textFill>
            <w14:solidFill>
              <w14:schemeClr w14:val="tx1"/>
            </w14:solidFill>
          </w14:textFill>
        </w:rPr>
        <w:t>4</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本项目所属行业：软件和信息技术服务业。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35.2关于监狱企业：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35.2.2监狱企业参加政府采购活动时，应当提供由省级以上监狱管理局、戒毒管理局（含新疆生产建设兵团）出具的属于监狱企业的证明文件。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35.2.3</w:t>
      </w:r>
      <w:r>
        <w:rPr>
          <w:rFonts w:hint="eastAsia" w:ascii="方正仿宋_GBK" w:hAnsi="方正仿宋_GBK" w:eastAsia="方正仿宋_GBK" w:cs="方正仿宋_GBK"/>
          <w:color w:val="000000" w:themeColor="text1"/>
          <w:szCs w:val="21"/>
          <w:highlight w:val="none"/>
          <w14:textFill>
            <w14:solidFill>
              <w14:schemeClr w14:val="tx1"/>
            </w14:solidFill>
          </w14:textFill>
        </w:rPr>
        <w:t>在政府采购活动中，监狱企业视同小型、微型企业，监狱企业属于小型、微型企业的，不重复享受政策。</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35.3关于残疾人福利性单位：</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35.3.1根据《三部门联合发布关于促进残疾人就业政府采购政策的通知》（财库〔2017〕141号）的规定，享受政府采购支持政策的残疾人福利性单位应当同时满足以下条件：</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（一）安置的残疾人占本单位在职职工人数的比例不低于25%（含25%），并且安置的残疾人人数不少于10人（含10人）；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（二）依法与安置的每位残疾人签订了一年以上（含一年）的劳动合同或服务协议；</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（三）为安置的每位残疾人按月足额缴纳了基本养老保险、基本医疗保险、失业保险、工伤保险和生育保险等社会保险费；</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35.3.2</w:t>
      </w:r>
      <w:r>
        <w:rPr>
          <w:rFonts w:hint="eastAsia" w:ascii="方正仿宋_GBK" w:hAnsi="方正仿宋_GBK" w:eastAsia="方正仿宋_GBK" w:cs="方正仿宋_GBK"/>
          <w:color w:val="000000" w:themeColor="text1"/>
          <w:szCs w:val="21"/>
          <w:highlight w:val="none"/>
          <w14:textFill>
            <w14:solidFill>
              <w14:schemeClr w14:val="tx1"/>
            </w14:solidFill>
          </w14:textFill>
        </w:rPr>
        <w:t>在政府采购活动中，残疾人福利性单位视同小型、微型企业，残疾人福利性单位属于小型、微型企业的，不重复享受政策。</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35.4</w:t>
      </w:r>
      <w:bookmarkStart w:id="416" w:name="_Toc152042355"/>
      <w:bookmarkStart w:id="417" w:name="_Toc144974546"/>
      <w:r>
        <w:rPr>
          <w:rFonts w:hint="eastAsia" w:ascii="方正仿宋_GBK" w:hAnsi="方正仿宋_GBK" w:eastAsia="方正仿宋_GBK" w:cs="方正仿宋_GBK"/>
          <w:color w:val="000000" w:themeColor="text1"/>
          <w:szCs w:val="21"/>
          <w:highlight w:val="none"/>
          <w14:textFill>
            <w14:solidFill>
              <w14:schemeClr w14:val="tx1"/>
            </w14:solidFill>
          </w14:textFill>
        </w:rPr>
        <w:t>关于节能产品及环境标志产品：</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本项目不适用。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35.5其他需要补充的内容：详见《投标人须知前附表》。</w:t>
      </w:r>
    </w:p>
    <w:bookmarkEnd w:id="416"/>
    <w:bookmarkEnd w:id="417"/>
    <w:p>
      <w:pPr>
        <w:pStyle w:val="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bookmarkStart w:id="418" w:name="_Toc27338"/>
      <w:bookmarkStart w:id="419" w:name="_Toc25237"/>
      <w:bookmarkStart w:id="420" w:name="_Toc8480"/>
      <w:bookmarkStart w:id="421" w:name="_Toc31974"/>
      <w:bookmarkStart w:id="422" w:name="_Toc15499"/>
      <w:r>
        <w:rPr>
          <w:rFonts w:hint="eastAsia" w:ascii="方正仿宋_GBK" w:hAnsi="方正仿宋_GBK" w:eastAsia="方正仿宋_GBK" w:cs="方正仿宋_GBK"/>
          <w:color w:val="000000" w:themeColor="text1"/>
          <w:highlight w:val="none"/>
          <w14:textFill>
            <w14:solidFill>
              <w14:schemeClr w14:val="tx1"/>
            </w14:solidFill>
          </w14:textFill>
        </w:rPr>
        <w:t>第三章  合同书样式及主要条款</w:t>
      </w:r>
      <w:bookmarkEnd w:id="415"/>
      <w:bookmarkEnd w:id="418"/>
      <w:bookmarkEnd w:id="419"/>
      <w:bookmarkEnd w:id="420"/>
      <w:bookmarkEnd w:id="421"/>
      <w:bookmarkEnd w:id="422"/>
    </w:p>
    <w:p>
      <w:pPr>
        <w:pStyle w:val="6"/>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423" w:name="_Toc2771"/>
      <w:bookmarkStart w:id="424" w:name="_Toc4028"/>
      <w:bookmarkStart w:id="425" w:name="_Toc21824"/>
      <w:bookmarkStart w:id="426" w:name="_Toc20843"/>
      <w:bookmarkStart w:id="427" w:name="_Toc21469"/>
      <w:r>
        <w:rPr>
          <w:rFonts w:hint="eastAsia" w:ascii="方正仿宋_GBK" w:hAnsi="方正仿宋_GBK" w:eastAsia="方正仿宋_GBK" w:cs="方正仿宋_GBK"/>
          <w:color w:val="000000" w:themeColor="text1"/>
          <w:highlight w:val="none"/>
          <w14:textFill>
            <w14:solidFill>
              <w14:schemeClr w14:val="tx1"/>
            </w14:solidFill>
          </w14:textFill>
        </w:rPr>
        <w:t>合同书样式</w:t>
      </w:r>
      <w:bookmarkEnd w:id="423"/>
      <w:bookmarkEnd w:id="424"/>
      <w:bookmarkEnd w:id="425"/>
      <w:bookmarkEnd w:id="426"/>
      <w:bookmarkEnd w:id="427"/>
    </w:p>
    <w:p>
      <w:pPr>
        <w:spacing w:line="440" w:lineRule="exact"/>
        <w:jc w:val="center"/>
        <w:rPr>
          <w:rFonts w:hint="eastAsia" w:ascii="方正仿宋_GBK" w:hAnsi="方正仿宋_GBK" w:eastAsia="方正仿宋_GBK" w:cs="方正仿宋_GBK"/>
          <w:b/>
          <w:color w:val="000000" w:themeColor="text1"/>
          <w:sz w:val="18"/>
          <w:szCs w:val="18"/>
          <w:highlight w:val="none"/>
          <w14:textFill>
            <w14:solidFill>
              <w14:schemeClr w14:val="tx1"/>
            </w14:solidFill>
          </w14:textFill>
        </w:rPr>
      </w:pPr>
      <w:r>
        <w:rPr>
          <w:rFonts w:hint="eastAsia" w:ascii="方正仿宋_GBK" w:hAnsi="方正仿宋_GBK" w:eastAsia="方正仿宋_GBK" w:cs="方正仿宋_GBK"/>
          <w:b/>
          <w:color w:val="000000" w:themeColor="text1"/>
          <w:sz w:val="18"/>
          <w:szCs w:val="18"/>
          <w:highlight w:val="none"/>
          <w14:textFill>
            <w14:solidFill>
              <w14:schemeClr w14:val="tx1"/>
            </w14:solidFill>
          </w14:textFill>
        </w:rPr>
        <w:t>（拟签订合同条款，合同条款采购人将与中标人根据招标文件要求、投标文件承诺、项目具体情况适时修改签订，具体合同条款和内容由采购人与中标人双方协商一致并签订的合同为准）</w:t>
      </w:r>
    </w:p>
    <w:p>
      <w:pPr>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tbl>
      <w:tblPr>
        <w:tblStyle w:val="41"/>
        <w:tblW w:w="0" w:type="auto"/>
        <w:jc w:val="center"/>
        <w:tblLayout w:type="fixed"/>
        <w:tblCellMar>
          <w:top w:w="0" w:type="dxa"/>
          <w:left w:w="0" w:type="dxa"/>
          <w:bottom w:w="0" w:type="dxa"/>
          <w:right w:w="0" w:type="dxa"/>
        </w:tblCellMar>
      </w:tblPr>
      <w:tblGrid>
        <w:gridCol w:w="9750"/>
      </w:tblGrid>
      <w:tr>
        <w:tblPrEx>
          <w:tblCellMar>
            <w:top w:w="0" w:type="dxa"/>
            <w:left w:w="0" w:type="dxa"/>
            <w:bottom w:w="0" w:type="dxa"/>
            <w:right w:w="0" w:type="dxa"/>
          </w:tblCellMar>
        </w:tblPrEx>
        <w:trPr>
          <w:jc w:val="center"/>
        </w:trPr>
        <w:tc>
          <w:tcPr>
            <w:tcW w:w="9750" w:type="dxa"/>
            <w:vAlign w:val="center"/>
          </w:tcPr>
          <w:p>
            <w:pPr>
              <w:spacing w:after="240"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428" w:name="_Toc489145749"/>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合同编号：                     合同自编号： </w:t>
            </w:r>
            <w:r>
              <w:rPr>
                <w:rFonts w:hint="eastAsia" w:ascii="方正仿宋_GBK" w:hAnsi="方正仿宋_GBK" w:eastAsia="方正仿宋_GBK" w:cs="方正仿宋_GBK"/>
                <w:color w:val="000000" w:themeColor="text1"/>
                <w:szCs w:val="21"/>
                <w:highlight w:val="none"/>
                <w14:textFill>
                  <w14:solidFill>
                    <w14:schemeClr w14:val="tx1"/>
                  </w14:solidFill>
                </w14:textFill>
              </w:rPr>
              <w:tab/>
            </w:r>
            <w:r>
              <w:rPr>
                <w:rFonts w:hint="eastAsia" w:ascii="方正仿宋_GBK" w:hAnsi="方正仿宋_GBK" w:eastAsia="方正仿宋_GBK" w:cs="方正仿宋_GBK"/>
                <w:color w:val="000000" w:themeColor="text1"/>
                <w:szCs w:val="21"/>
                <w:highlight w:val="none"/>
                <w14:textFill>
                  <w14:solidFill>
                    <w14:schemeClr w14:val="tx1"/>
                  </w14:solidFill>
                </w14:textFill>
              </w:rPr>
              <w:tab/>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项目编号： </w:t>
            </w:r>
          </w:p>
        </w:tc>
      </w:tr>
    </w:tbl>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●本合同须加盖甲乙双方骑缝章有效</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云南省政府采购</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（委托采购）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合</w:t>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同</w:t>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书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pPr>
        <w:spacing w:after="240" w:line="44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签订地点：云南省昆明市</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textWrapping"/>
      </w:r>
    </w:p>
    <w:p>
      <w:pPr>
        <w:spacing w:after="240" w:line="440" w:lineRule="exact"/>
        <w:jc w:val="cente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签订日期：    年　 月　 日</w:t>
      </w:r>
    </w:p>
    <w:p>
      <w:pPr>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br w:type="page"/>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 xml:space="preserve">甲方（采购人公章）名称： </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 xml:space="preserve">地  址： </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邮  编：</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法定代表人或委托代理人：</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项目（技术）负责人：</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电  话：</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签订日期：</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 xml:space="preserve">乙方（投标人公章）名称： </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地  址：</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邮  编：</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法定代表人或委托代理人：</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经办人：                    </w:t>
      </w:r>
    </w:p>
    <w:p>
      <w:pPr>
        <w:spacing w:line="440" w:lineRule="exact"/>
        <w:ind w:left="1619" w:leftChars="771"/>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电  话：</w:t>
      </w:r>
    </w:p>
    <w:p>
      <w:pPr>
        <w:pStyle w:val="3"/>
        <w:spacing w:line="440" w:lineRule="exact"/>
        <w:ind w:firstLine="1476" w:firstLineChars="7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 w:val="21"/>
          <w:szCs w:val="21"/>
          <w:highlight w:val="none"/>
          <w:lang w:val="en-US"/>
          <w14:textFill>
            <w14:solidFill>
              <w14:schemeClr w14:val="tx1"/>
            </w14:solidFill>
          </w14:textFill>
        </w:rPr>
        <w:t xml:space="preserve"> 签订日期：</w:t>
      </w:r>
      <w:r>
        <w:rPr>
          <w:rFonts w:hint="eastAsia" w:ascii="方正仿宋_GBK" w:hAnsi="方正仿宋_GBK" w:eastAsia="方正仿宋_GBK" w:cs="方正仿宋_GBK"/>
          <w:b/>
          <w:color w:val="000000" w:themeColor="text1"/>
          <w:sz w:val="21"/>
          <w:szCs w:val="21"/>
          <w:highlight w:val="none"/>
          <w14:textFill>
            <w14:solidFill>
              <w14:schemeClr w14:val="tx1"/>
            </w14:solidFill>
          </w14:textFill>
        </w:rPr>
        <w:br w:type="textWrapping"/>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br w:type="page"/>
      </w:r>
    </w:p>
    <w:p>
      <w:pPr>
        <w:tabs>
          <w:tab w:val="left" w:pos="1045"/>
        </w:tabs>
        <w:spacing w:line="440" w:lineRule="exact"/>
        <w:ind w:firstLine="632" w:firstLineChars="300"/>
        <w:rPr>
          <w:rFonts w:hint="eastAsia" w:ascii="方正仿宋_GBK" w:hAnsi="方正仿宋_GBK" w:eastAsia="方正仿宋_GBK" w:cs="方正仿宋_GBK"/>
          <w:b/>
          <w:bCs/>
          <w:color w:val="000000" w:themeColor="text1"/>
          <w:highlight w:val="none"/>
          <w:u w:val="singl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甲方（采购人）：</w:t>
      </w:r>
      <w:r>
        <w:rPr>
          <w:rFonts w:hint="eastAsia" w:ascii="方正仿宋_GBK" w:hAnsi="方正仿宋_GBK" w:eastAsia="方正仿宋_GBK" w:cs="方正仿宋_GBK"/>
          <w:b/>
          <w:bCs/>
          <w:color w:val="000000" w:themeColor="text1"/>
          <w:highlight w:val="none"/>
          <w14:textFill>
            <w14:solidFill>
              <w14:schemeClr w14:val="tx1"/>
            </w14:solidFill>
          </w14:textFill>
        </w:rPr>
        <w:t>云南省自然资源厅国土资源信息中心</w:t>
      </w:r>
    </w:p>
    <w:p>
      <w:pPr>
        <w:snapToGrid w:val="0"/>
        <w:spacing w:line="440" w:lineRule="exact"/>
        <w:ind w:firstLine="422" w:firstLineChars="200"/>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 xml:space="preserve">                     </w:t>
      </w:r>
    </w:p>
    <w:p>
      <w:pPr>
        <w:tabs>
          <w:tab w:val="left" w:pos="1045"/>
        </w:tabs>
        <w:spacing w:line="440" w:lineRule="exact"/>
        <w:ind w:firstLine="632" w:firstLineChars="300"/>
        <w:rPr>
          <w:rFonts w:hint="eastAsia" w:ascii="方正仿宋_GBK" w:hAnsi="方正仿宋_GBK" w:eastAsia="方正仿宋_GBK" w:cs="方正仿宋_GBK"/>
          <w:b/>
          <w:bCs/>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乙方（中标人）</w:t>
      </w:r>
      <w:r>
        <w:rPr>
          <w:rFonts w:hint="eastAsia" w:ascii="方正仿宋_GBK" w:hAnsi="方正仿宋_GBK" w:eastAsia="方正仿宋_GBK" w:cs="方正仿宋_GBK"/>
          <w:b/>
          <w:bCs/>
          <w:color w:val="000000" w:themeColor="text1"/>
          <w:highlight w:val="none"/>
          <w14:textFill>
            <w14:solidFill>
              <w14:schemeClr w14:val="tx1"/>
            </w14:solidFill>
          </w14:textFill>
        </w:rPr>
        <w:t xml:space="preserve">：                     </w:t>
      </w:r>
    </w:p>
    <w:p>
      <w:pPr>
        <w:snapToGrid w:val="0"/>
        <w:spacing w:line="440" w:lineRule="exact"/>
        <w:ind w:firstLine="420" w:firstLineChars="200"/>
        <w:rPr>
          <w:rFonts w:hint="eastAsia" w:ascii="方正仿宋_GBK" w:hAnsi="方正仿宋_GBK" w:eastAsia="方正仿宋_GBK" w:cs="方正仿宋_GBK"/>
          <w:bCs/>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highlight w:val="none"/>
          <w14:textFill>
            <w14:solidFill>
              <w14:schemeClr w14:val="tx1"/>
            </w14:solidFill>
          </w14:textFill>
        </w:rPr>
        <w:t>根据《中华人民共和国政府采购法》及《中华人民共和国民法典》。按照</w:t>
      </w:r>
      <w:r>
        <w:rPr>
          <w:rFonts w:hint="eastAsia" w:ascii="方正仿宋_GBK" w:hAnsi="方正仿宋_GBK" w:eastAsia="方正仿宋_GBK" w:cs="方正仿宋_GBK"/>
          <w:b/>
          <w:color w:val="000000" w:themeColor="text1"/>
          <w:highlight w:val="none"/>
          <w:u w:val="single"/>
          <w14:textFill>
            <w14:solidFill>
              <w14:schemeClr w14:val="tx1"/>
            </w14:solidFill>
          </w14:textFill>
        </w:rPr>
        <w:t>（项目名称：</w:t>
      </w:r>
      <w:r>
        <w:rPr>
          <w:rFonts w:hint="eastAsia" w:ascii="方正仿宋_GBK" w:hAnsi="方正仿宋_GBK" w:eastAsia="方正仿宋_GBK" w:cs="方正仿宋_GBK"/>
          <w:b/>
          <w:color w:val="000000" w:themeColor="text1"/>
          <w:highlight w:val="none"/>
          <w:u w:val="single"/>
          <w:lang w:eastAsia="zh-CN"/>
          <w14:textFill>
            <w14:solidFill>
              <w14:schemeClr w14:val="tx1"/>
            </w14:solidFill>
          </w14:textFill>
        </w:rPr>
        <w:t>省自然资源厅云南省地质灾害隐患识别系统运行维护2025年度项目</w:t>
      </w:r>
      <w:r>
        <w:rPr>
          <w:rFonts w:hint="eastAsia" w:ascii="方正仿宋_GBK" w:hAnsi="方正仿宋_GBK" w:eastAsia="方正仿宋_GBK" w:cs="方正仿宋_GBK"/>
          <w:b/>
          <w:color w:val="000000" w:themeColor="text1"/>
          <w:highlight w:val="none"/>
          <w:u w:val="single"/>
          <w14:textFill>
            <w14:solidFill>
              <w14:schemeClr w14:val="tx1"/>
            </w14:solidFill>
          </w14:textFill>
        </w:rPr>
        <w:t>，项目编号：       ）</w:t>
      </w:r>
      <w:r>
        <w:rPr>
          <w:rFonts w:hint="eastAsia" w:ascii="方正仿宋_GBK" w:hAnsi="方正仿宋_GBK" w:eastAsia="方正仿宋_GBK" w:cs="方正仿宋_GBK"/>
          <w:bCs/>
          <w:color w:val="000000" w:themeColor="text1"/>
          <w:highlight w:val="none"/>
          <w14:textFill>
            <w14:solidFill>
              <w14:schemeClr w14:val="tx1"/>
            </w14:solidFill>
          </w14:textFill>
        </w:rPr>
        <w:t>的招标采购结果，乙方为本项目的中标人。甲乙双方本着平等互利和诚实信用的原则，签订本采购合同。</w:t>
      </w:r>
    </w:p>
    <w:p>
      <w:pPr>
        <w:spacing w:line="440" w:lineRule="exact"/>
        <w:ind w:firstLine="56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根据    年  月  日“</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省自然资源厅云南省地质灾害隐患识别系统运行维护2025年度项目</w:t>
      </w:r>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eastAsia="zh-Hans"/>
          <w14:textFill>
            <w14:solidFill>
              <w14:schemeClr w14:val="tx1"/>
            </w14:solidFill>
          </w14:textFill>
        </w:rPr>
        <w:t>公开招标</w:t>
      </w:r>
      <w:r>
        <w:rPr>
          <w:rFonts w:hint="eastAsia" w:ascii="方正仿宋_GBK" w:hAnsi="方正仿宋_GBK" w:eastAsia="方正仿宋_GBK" w:cs="方正仿宋_GBK"/>
          <w:color w:val="000000" w:themeColor="text1"/>
          <w:highlight w:val="none"/>
          <w14:textFill>
            <w14:solidFill>
              <w14:schemeClr w14:val="tx1"/>
            </w14:solidFill>
          </w14:textFill>
        </w:rPr>
        <w:t>结果和</w:t>
      </w:r>
      <w:r>
        <w:rPr>
          <w:rFonts w:hint="eastAsia" w:ascii="方正仿宋_GBK" w:hAnsi="方正仿宋_GBK" w:eastAsia="方正仿宋_GBK" w:cs="方正仿宋_GBK"/>
          <w:bCs/>
          <w:color w:val="000000" w:themeColor="text1"/>
          <w:highlight w:val="none"/>
          <w14:textFill>
            <w14:solidFill>
              <w14:schemeClr w14:val="tx1"/>
            </w14:solidFill>
          </w14:textFill>
        </w:rPr>
        <w:t>《中华人民共和国民法典》</w:t>
      </w:r>
      <w:r>
        <w:rPr>
          <w:rFonts w:hint="eastAsia" w:ascii="方正仿宋_GBK" w:hAnsi="方正仿宋_GBK" w:eastAsia="方正仿宋_GBK" w:cs="方正仿宋_GBK"/>
          <w:color w:val="000000" w:themeColor="text1"/>
          <w:highlight w:val="none"/>
          <w14:textFill>
            <w14:solidFill>
              <w14:schemeClr w14:val="tx1"/>
            </w14:solidFill>
          </w14:textFill>
        </w:rPr>
        <w:t>等有关法律法规，为明确甲、乙双方责任，确保双方利益，本着平等、自愿、公平和诚实信用的原则，经甲、乙双方协商一致，同意按照下面的条款和条件签署本合同。</w:t>
      </w:r>
    </w:p>
    <w:p>
      <w:pPr>
        <w:snapToGrid w:val="0"/>
        <w:spacing w:line="440" w:lineRule="exact"/>
        <w:ind w:firstLine="422" w:firstLineChars="200"/>
        <w:rPr>
          <w:rFonts w:hint="eastAsia" w:ascii="方正仿宋_GBK" w:hAnsi="方正仿宋_GBK" w:eastAsia="方正仿宋_GBK" w:cs="方正仿宋_GBK"/>
          <w:b/>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一、采购标的名称：</w:t>
      </w:r>
      <w:r>
        <w:rPr>
          <w:rFonts w:hint="eastAsia" w:ascii="方正仿宋_GBK" w:hAnsi="方正仿宋_GBK" w:eastAsia="方正仿宋_GBK" w:cs="方正仿宋_GBK"/>
          <w:bCs/>
          <w:color w:val="000000" w:themeColor="text1"/>
          <w:highlight w:val="none"/>
          <w:lang w:eastAsia="zh-CN"/>
          <w14:textFill>
            <w14:solidFill>
              <w14:schemeClr w14:val="tx1"/>
            </w14:solidFill>
          </w14:textFill>
        </w:rPr>
        <w:t>省自然资源厅云南省地质灾害隐患识别系统运行维护2025年度项目</w:t>
      </w:r>
    </w:p>
    <w:p>
      <w:pPr>
        <w:snapToGrid w:val="0"/>
        <w:spacing w:line="440" w:lineRule="exact"/>
        <w:ind w:left="479" w:leftChars="228"/>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二、采购标的质量：</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项目一次性通过验收，符合国家、</w:t>
      </w:r>
      <w:r>
        <w:rPr>
          <w:rFonts w:hint="eastAsia" w:ascii="方正仿宋_GBK" w:hAnsi="方正仿宋_GBK" w:eastAsia="方正仿宋_GBK" w:cs="方正仿宋_GBK"/>
          <w:color w:val="000000" w:themeColor="text1"/>
          <w:szCs w:val="21"/>
          <w:highlight w:val="none"/>
          <w14:textFill>
            <w14:solidFill>
              <w14:schemeClr w14:val="tx1"/>
            </w14:solidFill>
          </w14:textFill>
        </w:rPr>
        <w:t>云南省</w:t>
      </w:r>
      <w:r>
        <w:rPr>
          <w:rFonts w:hint="eastAsia" w:ascii="方正仿宋_GBK" w:hAnsi="方正仿宋_GBK" w:eastAsia="方正仿宋_GBK" w:cs="方正仿宋_GBK"/>
          <w:color w:val="000000" w:themeColor="text1"/>
          <w:szCs w:val="21"/>
          <w:highlight w:val="none"/>
          <w14:textFill>
            <w14:solidFill>
              <w14:schemeClr w14:val="tx1"/>
            </w14:solidFill>
          </w14:textFill>
        </w:rPr>
        <w:t>和行业相关标准及</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采购</w:t>
      </w:r>
      <w:r>
        <w:rPr>
          <w:rFonts w:hint="eastAsia" w:ascii="方正仿宋_GBK" w:hAnsi="方正仿宋_GBK" w:eastAsia="方正仿宋_GBK" w:cs="方正仿宋_GBK"/>
          <w:color w:val="000000" w:themeColor="text1"/>
          <w:szCs w:val="21"/>
          <w:highlight w:val="none"/>
          <w14:textFill>
            <w14:solidFill>
              <w14:schemeClr w14:val="tx1"/>
            </w14:solidFill>
          </w14:textFill>
        </w:rPr>
        <w:t>要求</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w:t>
      </w:r>
      <w:r>
        <w:rPr>
          <w:rFonts w:hint="eastAsia" w:ascii="方正仿宋_GBK" w:hAnsi="方正仿宋_GBK" w:eastAsia="方正仿宋_GBK" w:cs="方正仿宋_GBK"/>
          <w:b/>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b/>
          <w:color w:val="000000" w:themeColor="text1"/>
          <w:highlight w:val="none"/>
          <w14:textFill>
            <w14:solidFill>
              <w14:schemeClr w14:val="tx1"/>
            </w14:solidFill>
          </w14:textFill>
        </w:rPr>
        <w:t>三、数量（规模）：</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Cs w:val="21"/>
          <w:highlight w:val="none"/>
          <w14:textFill>
            <w14:solidFill>
              <w14:schemeClr w14:val="tx1"/>
            </w14:solidFill>
          </w14:textFill>
        </w:rPr>
        <w:t>项</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w:t>
      </w:r>
    </w:p>
    <w:p>
      <w:pPr>
        <w:spacing w:line="440" w:lineRule="exact"/>
        <w:ind w:firstLine="56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四、履行期限：</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自合同签订之日起即开展运维工作，云南省地质灾害隐患识别综合系统运维期至2026年12月底，GAMMA系统软件更新升级服务期限至2028年</w:t>
      </w:r>
      <w:r>
        <w:rPr>
          <w:rFonts w:hint="eastAsia" w:ascii="方正仿宋_GBK" w:hAnsi="方正仿宋_GBK" w:eastAsia="方正仿宋_GBK" w:cs="方正仿宋_GBK"/>
          <w:color w:val="000000" w:themeColor="text1"/>
          <w:highlight w:val="none"/>
          <w14:textFill>
            <w14:solidFill>
              <w14:schemeClr w14:val="tx1"/>
            </w14:solidFill>
          </w14:textFill>
        </w:rPr>
        <w:t>。</w:t>
      </w:r>
    </w:p>
    <w:p>
      <w:pPr>
        <w:spacing w:line="440" w:lineRule="exact"/>
        <w:ind w:firstLine="56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2</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14:textFill>
            <w14:solidFill>
              <w14:schemeClr w14:val="tx1"/>
            </w14:solidFill>
          </w14:textFill>
        </w:rPr>
        <w:t>进度要求</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14:textFill>
            <w14:solidFill>
              <w14:schemeClr w14:val="tx1"/>
            </w14:solidFill>
          </w14:textFill>
        </w:rPr>
        <w:t>供应商应自合同签订之日起即开展</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云南省地质灾害隐患识别综合</w:t>
      </w:r>
      <w:r>
        <w:rPr>
          <w:rFonts w:hint="eastAsia" w:ascii="方正仿宋_GBK" w:hAnsi="方正仿宋_GBK" w:eastAsia="方正仿宋_GBK" w:cs="方正仿宋_GBK"/>
          <w:color w:val="000000" w:themeColor="text1"/>
          <w:highlight w:val="none"/>
          <w14:textFill>
            <w14:solidFill>
              <w14:schemeClr w14:val="tx1"/>
            </w14:solidFill>
          </w14:textFill>
        </w:rPr>
        <w:t>系统</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运维工作和GAMMA系统软件更新升级</w:t>
      </w:r>
      <w:r>
        <w:rPr>
          <w:rFonts w:hint="eastAsia" w:ascii="方正仿宋_GBK" w:hAnsi="方正仿宋_GBK" w:eastAsia="方正仿宋_GBK" w:cs="方正仿宋_GBK"/>
          <w:color w:val="000000" w:themeColor="text1"/>
          <w:highlight w:val="none"/>
          <w14:textFill>
            <w14:solidFill>
              <w14:schemeClr w14:val="tx1"/>
            </w14:solidFill>
          </w14:textFill>
        </w:rPr>
        <w:t>工作，</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云南省地质灾害隐患识别综合</w:t>
      </w:r>
      <w:r>
        <w:rPr>
          <w:rFonts w:hint="eastAsia" w:ascii="方正仿宋_GBK" w:hAnsi="方正仿宋_GBK" w:eastAsia="方正仿宋_GBK" w:cs="方正仿宋_GBK"/>
          <w:color w:val="000000" w:themeColor="text1"/>
          <w:highlight w:val="none"/>
          <w14:textFill>
            <w14:solidFill>
              <w14:schemeClr w14:val="tx1"/>
            </w14:solidFill>
          </w14:textFill>
        </w:rPr>
        <w:t>系统</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运维</w:t>
      </w:r>
      <w:r>
        <w:rPr>
          <w:rFonts w:hint="eastAsia" w:ascii="方正仿宋_GBK" w:hAnsi="方正仿宋_GBK" w:eastAsia="方正仿宋_GBK" w:cs="方正仿宋_GBK"/>
          <w:color w:val="000000" w:themeColor="text1"/>
          <w:highlight w:val="none"/>
          <w14:textFill>
            <w14:solidFill>
              <w14:schemeClr w14:val="tx1"/>
            </w14:solidFill>
          </w14:textFill>
        </w:rPr>
        <w:t>工作需要在2026年6月底前完成，运维期至2026年12月</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底；GAMMA系统软件更新升级服务期限至2028年</w:t>
      </w:r>
      <w:r>
        <w:rPr>
          <w:rFonts w:hint="eastAsia" w:ascii="方正仿宋_GBK" w:hAnsi="方正仿宋_GBK" w:eastAsia="方正仿宋_GBK" w:cs="方正仿宋_GBK"/>
          <w:color w:val="000000" w:themeColor="text1"/>
          <w:highlight w:val="none"/>
          <w14:textFill>
            <w14:solidFill>
              <w14:schemeClr w14:val="tx1"/>
            </w14:solidFill>
          </w14:textFill>
        </w:rPr>
        <w:t>。</w:t>
      </w:r>
    </w:p>
    <w:p>
      <w:pPr>
        <w:spacing w:line="440" w:lineRule="exact"/>
        <w:ind w:left="479" w:leftChars="228"/>
        <w:rPr>
          <w:rFonts w:hint="eastAsia" w:ascii="方正仿宋_GBK" w:hAnsi="方正仿宋_GBK" w:eastAsia="方正仿宋_GBK" w:cs="方正仿宋_GBK"/>
          <w:bCs/>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五、履行地点：</w:t>
      </w:r>
      <w:r>
        <w:rPr>
          <w:rFonts w:hint="eastAsia" w:ascii="方正仿宋_GBK" w:hAnsi="方正仿宋_GBK" w:eastAsia="方正仿宋_GBK" w:cs="方正仿宋_GBK"/>
          <w:bCs/>
          <w:color w:val="000000" w:themeColor="text1"/>
          <w:highlight w:val="none"/>
          <w:lang w:eastAsia="zh-CN"/>
          <w14:textFill>
            <w14:solidFill>
              <w14:schemeClr w14:val="tx1"/>
            </w14:solidFill>
          </w14:textFill>
        </w:rPr>
        <w:t>云南省自然资源厅指定地点</w:t>
      </w:r>
    </w:p>
    <w:p>
      <w:pPr>
        <w:spacing w:line="440" w:lineRule="exact"/>
        <w:ind w:left="479" w:leftChars="228"/>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六、履行方式：</w:t>
      </w:r>
      <w:r>
        <w:rPr>
          <w:rFonts w:hint="eastAsia" w:ascii="方正仿宋_GBK" w:hAnsi="方正仿宋_GBK" w:eastAsia="方正仿宋_GBK" w:cs="方正仿宋_GBK"/>
          <w:bCs/>
          <w:color w:val="000000" w:themeColor="text1"/>
          <w:highlight w:val="none"/>
          <w14:textFill>
            <w14:solidFill>
              <w14:schemeClr w14:val="tx1"/>
            </w14:solidFill>
          </w14:textFill>
        </w:rPr>
        <w:t>现场服务</w:t>
      </w:r>
      <w:r>
        <w:rPr>
          <w:rFonts w:hint="eastAsia" w:ascii="方正仿宋_GBK" w:hAnsi="方正仿宋_GBK" w:eastAsia="方正仿宋_GBK" w:cs="方正仿宋_GBK"/>
          <w:bCs/>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b/>
          <w:color w:val="000000" w:themeColor="text1"/>
          <w:highlight w:val="none"/>
          <w14:textFill>
            <w14:solidFill>
              <w14:schemeClr w14:val="tx1"/>
            </w14:solidFill>
          </w14:textFill>
        </w:rPr>
        <w:t>七、验收及交付标准：</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t>项目验收应严格按照政府采购相关法律法规、</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省数据局《云南省省级政务信息化服务类项目验收实施细则（试行）》</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以及《云南省政府采购管理暂行办法》相关要求进行验收。验收工作由采购人组织的业内专家评审，严格按照合同约定的情况执行。</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instrText xml:space="preserve"> = 1 \* GB2 </w:instrTex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⑴</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整体要求</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t>供应商应提供本项目所涉及改造工作部分的系统运行程序、源代码和配套改造、运维文档资料。其中系统运行程序、源代码以光盘介质的电子格式数据提交，其它成果以光盘介质和纸介质两种方式提交。供应商提供有关技术及工程过程性文档需符合软件工程规范，这些文档必须用简体中文书写或标识，且提供纸质版，电子版文档1套，纸质版和电子版文档应满足采购方档案归档要求。除了系统本身外，在本项目实施过程中，形成的所有程序供应商必须向采购方提供源代码及源代码介质，程序代码归采购方所有。</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begin"/>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instrText xml:space="preserve"> = 2 \* GB2 </w:instrTex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separate"/>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⑵</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fldChar w:fldCharType="end"/>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文档成果要求</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eastAsia="zh-CN"/>
          <w14:textFill>
            <w14:solidFill>
              <w14:schemeClr w14:val="tx1"/>
            </w14:solidFill>
          </w14:textFill>
        </w:rPr>
        <w:t>供应商应提供的文档成果，包括但不限于：</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①</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项目</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运行维护</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方案；</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②项目运行维护工作总结</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报告；</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③</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涉及系统改造的，提供系统运行程序、及其开发源代码；</w:t>
      </w:r>
    </w:p>
    <w:p>
      <w:pPr>
        <w:spacing w:line="440" w:lineRule="exact"/>
        <w:ind w:firstLine="560"/>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④</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运维</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记录表</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巡检</w:t>
      </w:r>
      <w:r>
        <w:rPr>
          <w:rFonts w:hint="eastAsia" w:ascii="方正仿宋_GBK" w:hAnsi="方正仿宋_GBK" w:eastAsia="方正仿宋_GBK" w:cs="方正仿宋_GBK"/>
          <w:color w:val="000000" w:themeColor="text1"/>
          <w:highlight w:val="none"/>
          <w:lang w:eastAsia="zh-CN"/>
          <w14:textFill>
            <w14:solidFill>
              <w14:schemeClr w14:val="tx1"/>
            </w14:solidFill>
          </w14:textFill>
        </w:rPr>
        <w:t>记录表。</w:t>
      </w:r>
    </w:p>
    <w:p>
      <w:pPr>
        <w:spacing w:line="440" w:lineRule="exact"/>
        <w:ind w:firstLine="422"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八、合同价款：合同固定总价（含税）：￥</w:t>
      </w:r>
      <w:r>
        <w:rPr>
          <w:rFonts w:hint="eastAsia" w:ascii="方正仿宋_GBK" w:hAnsi="方正仿宋_GBK" w:eastAsia="方正仿宋_GBK" w:cs="方正仿宋_GBK"/>
          <w:b/>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b/>
          <w:color w:val="000000" w:themeColor="text1"/>
          <w:highlight w:val="none"/>
          <w14:textFill>
            <w14:solidFill>
              <w14:schemeClr w14:val="tx1"/>
            </w14:solidFill>
          </w14:textFill>
        </w:rPr>
        <w:t>元。（大写：人民币</w:t>
      </w:r>
      <w:r>
        <w:rPr>
          <w:rFonts w:hint="eastAsia" w:ascii="方正仿宋_GBK" w:hAnsi="方正仿宋_GBK" w:eastAsia="方正仿宋_GBK" w:cs="方正仿宋_GBK"/>
          <w:b/>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b/>
          <w:color w:val="000000" w:themeColor="text1"/>
          <w:highlight w:val="none"/>
          <w14:textFill>
            <w14:solidFill>
              <w14:schemeClr w14:val="tx1"/>
            </w14:solidFill>
          </w14:textFill>
        </w:rPr>
        <w:t>）。</w:t>
      </w:r>
    </w:p>
    <w:p>
      <w:pPr>
        <w:snapToGrid w:val="0"/>
        <w:spacing w:line="440" w:lineRule="exact"/>
        <w:ind w:firstLine="422" w:firstLineChars="200"/>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九、服务费及支付方式：</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（一）服务费用</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1.根据《中标通知书》中的中标金额，本合同总价为¥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元，大写：人民币</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。以上为含税包干价款，合同生效后甲方不再向乙方支付任何额外费用。</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2.发票开具方式：由乙方按照约定时间及合同价款开具相关金额发票给甲方。</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（二）支付方式</w:t>
      </w:r>
    </w:p>
    <w:p>
      <w:pPr>
        <w:snapToGrid w:val="0"/>
        <w:spacing w:line="440" w:lineRule="exact"/>
        <w:ind w:firstLine="420" w:firstLineChars="200"/>
        <w:rPr>
          <w:rFonts w:hint="eastAsia" w:ascii="方正仿宋_GBK" w:hAnsi="方正仿宋_GBK" w:eastAsia="方正仿宋_GBK" w:cs="方正仿宋_GBK"/>
          <w:b w:val="0"/>
          <w:bCs/>
          <w:color w:val="000000" w:themeColor="text1"/>
          <w:highlight w:val="none"/>
          <w14:textFill>
            <w14:solidFill>
              <w14:schemeClr w14:val="tx1"/>
            </w14:solidFill>
          </w14:textFill>
        </w:rPr>
      </w:pPr>
      <w:r>
        <w:rPr>
          <w:rFonts w:hint="eastAsia" w:ascii="方正仿宋_GBK" w:hAnsi="方正仿宋_GBK" w:eastAsia="方正仿宋_GBK" w:cs="方正仿宋_GBK"/>
          <w:b w:val="0"/>
          <w:bCs/>
          <w:color w:val="000000" w:themeColor="text1"/>
          <w:highlight w:val="none"/>
          <w14:textFill>
            <w14:solidFill>
              <w14:schemeClr w14:val="tx1"/>
            </w14:solidFill>
          </w14:textFill>
        </w:rPr>
        <w:t>自合同签订之日起15个工作日内完成首次支付，支付比例为合同价款的</w:t>
      </w:r>
      <w:r>
        <w:rPr>
          <w:rFonts w:hint="eastAsia" w:ascii="方正仿宋_GBK" w:hAnsi="方正仿宋_GBK" w:eastAsia="方正仿宋_GBK" w:cs="方正仿宋_GBK"/>
          <w:b w:val="0"/>
          <w:bCs/>
          <w:color w:val="000000" w:themeColor="text1"/>
          <w:highlight w:val="none"/>
          <w:lang w:val="en-US" w:eastAsia="zh-CN"/>
          <w14:textFill>
            <w14:solidFill>
              <w14:schemeClr w14:val="tx1"/>
            </w14:solidFill>
          </w14:textFill>
        </w:rPr>
        <w:t>85</w:t>
      </w:r>
      <w:r>
        <w:rPr>
          <w:rFonts w:hint="eastAsia" w:ascii="方正仿宋_GBK" w:hAnsi="方正仿宋_GBK" w:eastAsia="方正仿宋_GBK" w:cs="方正仿宋_GBK"/>
          <w:b w:val="0"/>
          <w:bCs/>
          <w:color w:val="000000" w:themeColor="text1"/>
          <w:highlight w:val="none"/>
          <w14:textFill>
            <w14:solidFill>
              <w14:schemeClr w14:val="tx1"/>
            </w14:solidFill>
          </w14:textFill>
        </w:rPr>
        <w:t>%； 2026年</w:t>
      </w:r>
      <w:r>
        <w:rPr>
          <w:rFonts w:hint="eastAsia" w:ascii="方正仿宋_GBK" w:hAnsi="方正仿宋_GBK" w:eastAsia="方正仿宋_GBK" w:cs="方正仿宋_GBK"/>
          <w:b w:val="0"/>
          <w:bCs/>
          <w:color w:val="000000" w:themeColor="text1"/>
          <w:highlight w:val="none"/>
          <w:lang w:val="en-US" w:eastAsia="zh-CN"/>
          <w14:textFill>
            <w14:solidFill>
              <w14:schemeClr w14:val="tx1"/>
            </w14:solidFill>
          </w14:textFill>
        </w:rPr>
        <w:t>6</w:t>
      </w:r>
      <w:r>
        <w:rPr>
          <w:rFonts w:hint="eastAsia" w:ascii="方正仿宋_GBK" w:hAnsi="方正仿宋_GBK" w:eastAsia="方正仿宋_GBK" w:cs="方正仿宋_GBK"/>
          <w:b w:val="0"/>
          <w:bCs/>
          <w:color w:val="000000" w:themeColor="text1"/>
          <w:highlight w:val="none"/>
          <w14:textFill>
            <w14:solidFill>
              <w14:schemeClr w14:val="tx1"/>
            </w14:solidFill>
          </w14:textFill>
        </w:rPr>
        <w:t>月底前通过项目初验，支付比例为合同价款15%；2026年12月底前完成项目验收。</w:t>
      </w:r>
    </w:p>
    <w:p>
      <w:pPr>
        <w:snapToGrid w:val="0"/>
        <w:spacing w:line="440" w:lineRule="exact"/>
        <w:ind w:firstLine="420" w:firstLineChars="200"/>
        <w:rPr>
          <w:rFonts w:hint="eastAsia" w:ascii="方正仿宋_GBK" w:hAnsi="方正仿宋_GBK" w:eastAsia="方正仿宋_GBK" w:cs="方正仿宋_GBK"/>
          <w:b w:val="0"/>
          <w:bCs/>
          <w:color w:val="000000" w:themeColor="text1"/>
          <w:highlight w:val="none"/>
          <w14:textFill>
            <w14:solidFill>
              <w14:schemeClr w14:val="tx1"/>
            </w14:solidFill>
          </w14:textFill>
        </w:rPr>
      </w:pPr>
      <w:r>
        <w:rPr>
          <w:rFonts w:hint="eastAsia" w:ascii="方正仿宋_GBK" w:hAnsi="方正仿宋_GBK" w:eastAsia="方正仿宋_GBK" w:cs="方正仿宋_GBK"/>
          <w:b w:val="0"/>
          <w:bCs/>
          <w:color w:val="000000" w:themeColor="text1"/>
          <w:highlight w:val="none"/>
          <w14:textFill>
            <w14:solidFill>
              <w14:schemeClr w14:val="tx1"/>
            </w14:solidFill>
          </w14:textFill>
        </w:rPr>
        <w:t>支付方式为银行转账。</w:t>
      </w:r>
    </w:p>
    <w:p>
      <w:pPr>
        <w:snapToGrid w:val="0"/>
        <w:spacing w:line="440" w:lineRule="exact"/>
        <w:ind w:firstLine="422" w:firstLineChars="200"/>
        <w:rPr>
          <w:rFonts w:hint="eastAsia" w:ascii="方正仿宋_GBK" w:hAnsi="方正仿宋_GBK" w:eastAsia="方正仿宋_GBK" w:cs="方正仿宋_GBK"/>
          <w:b/>
          <w:bCs/>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十、质量保修范围和保修期</w:t>
      </w:r>
      <w:r>
        <w:rPr>
          <w:rFonts w:hint="eastAsia" w:ascii="方正仿宋_GBK" w:hAnsi="方正仿宋_GBK" w:eastAsia="方正仿宋_GBK" w:cs="方正仿宋_GBK"/>
          <w:bCs/>
          <w:color w:val="000000" w:themeColor="text1"/>
          <w:highlight w:val="none"/>
          <w14:textFill>
            <w14:solidFill>
              <w14:schemeClr w14:val="tx1"/>
            </w14:solidFill>
          </w14:textFill>
        </w:rPr>
        <w:t>：本项目为服务采购，不涉及。</w:t>
      </w:r>
      <w:r>
        <w:rPr>
          <w:rFonts w:hint="eastAsia" w:ascii="方正仿宋_GBK" w:hAnsi="方正仿宋_GBK" w:eastAsia="方正仿宋_GBK" w:cs="方正仿宋_GBK"/>
          <w:bCs/>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bCs/>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highlight w:val="none"/>
          <w14:textFill>
            <w14:solidFill>
              <w14:schemeClr w14:val="tx1"/>
            </w14:solidFill>
          </w14:textFill>
        </w:rPr>
        <w:t>十一、违约责任：</w:t>
      </w:r>
      <w:r>
        <w:rPr>
          <w:rFonts w:hint="eastAsia" w:ascii="方正仿宋_GBK" w:hAnsi="方正仿宋_GBK" w:eastAsia="方正仿宋_GBK" w:cs="方正仿宋_GBK"/>
          <w:b/>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b/>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1.任何一方有证据表明对方已经、正在或将要违约，应及时通知对方，若对方继续不履行、履行不当或违反本合同，守约方可以要求解除本合同并要求对方赔偿损失。</w:t>
      </w:r>
      <w:r>
        <w:rPr>
          <w:rFonts w:hint="eastAsia" w:ascii="方正仿宋_GBK" w:hAnsi="方正仿宋_GBK" w:eastAsia="方正仿宋_GBK" w:cs="方正仿宋_GBK"/>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highlight w:val="none"/>
          <w14:textFill>
            <w14:solidFill>
              <w14:schemeClr w14:val="tx1"/>
            </w14:solidFill>
          </w14:textFill>
        </w:rPr>
        <w:t xml:space="preserve">    2.如由于战争、骚乱、恐怖主义、自然灾害等不可抗力因素导致协议双方或一方无法继续履行协议时，受影响方不承担违约责任，但应尽快书面通知对方，并协议适当延长协议的期限。在影响解除后，受影响方应及时通知对方，本协议继续执行。</w:t>
      </w:r>
      <w:r>
        <w:rPr>
          <w:rFonts w:hint="eastAsia" w:ascii="方正仿宋_GBK" w:hAnsi="方正仿宋_GBK" w:eastAsia="方正仿宋_GBK" w:cs="方正仿宋_GBK"/>
          <w:color w:val="000000" w:themeColor="text1"/>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b/>
          <w:bCs/>
          <w:color w:val="000000" w:themeColor="text1"/>
          <w:highlight w:val="none"/>
          <w14:textFill>
            <w14:solidFill>
              <w14:schemeClr w14:val="tx1"/>
            </w14:solidFill>
          </w14:textFill>
        </w:rPr>
        <w:t>十二、解决争议的方法：</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因本合同或与本合同有关的一切事项发生争议，由双方友好协商解决。协商不成的，任何一方均可选择以下方式解决：</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（1）向甲方所在地仲裁委员会申请仲裁；</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（2）向甲方所在地有管辖权的人民法院提起诉讼。</w:t>
      </w:r>
    </w:p>
    <w:p>
      <w:pPr>
        <w:spacing w:line="440" w:lineRule="exact"/>
        <w:ind w:firstLine="422" w:firstLineChars="200"/>
        <w:rPr>
          <w:rFonts w:hint="eastAsia" w:ascii="方正仿宋_GBK" w:hAnsi="方正仿宋_GBK" w:eastAsia="方正仿宋_GBK" w:cs="方正仿宋_GBK"/>
          <w:b/>
          <w:bCs/>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十三、知识产权：</w:t>
      </w:r>
      <w:r>
        <w:rPr>
          <w:rFonts w:hint="eastAsia" w:ascii="方正仿宋_GBK" w:hAnsi="方正仿宋_GBK" w:eastAsia="方正仿宋_GBK" w:cs="方正仿宋_GBK"/>
          <w:color w:val="000000" w:themeColor="text1"/>
          <w:highlight w:val="none"/>
          <w14:textFill>
            <w14:solidFill>
              <w14:schemeClr w14:val="tx1"/>
            </w14:solidFill>
          </w14:textFill>
        </w:rPr>
        <w:t>本项目不涉及知识产权。</w:t>
      </w:r>
    </w:p>
    <w:p>
      <w:pPr>
        <w:snapToGrid w:val="0"/>
        <w:spacing w:line="440" w:lineRule="exact"/>
        <w:ind w:firstLine="422" w:firstLineChars="200"/>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十四、甲方的权利和义务：</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（一）协调项目实施过程中发生的有关问题。</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（二）甲方按时拨付相应费用，以保证项目的顺利进行。</w:t>
      </w:r>
    </w:p>
    <w:p>
      <w:pPr>
        <w:snapToGrid w:val="0"/>
        <w:spacing w:line="440" w:lineRule="exact"/>
        <w:ind w:firstLine="422" w:firstLineChars="200"/>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十五、乙方的权利和义务：</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（一）严格按照合同、实施方案、技术标准组织实施项目，把好质量关，完成本项目要求的所有工作内容。</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（二）为确保项目质量，如提交的项目质量、性能不符合要求、标准，负责返工完善。</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（三）本项目不允许转包给第三方。</w:t>
      </w:r>
    </w:p>
    <w:p>
      <w:pPr>
        <w:spacing w:line="440" w:lineRule="exact"/>
        <w:ind w:firstLine="422" w:firstLineChars="200"/>
        <w:rPr>
          <w:rFonts w:hint="eastAsia" w:ascii="方正仿宋_GBK" w:hAnsi="方正仿宋_GBK" w:eastAsia="方正仿宋_GBK" w:cs="方正仿宋_GBK"/>
          <w:b/>
          <w:bCs/>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十六、不可抗力：</w:t>
      </w:r>
    </w:p>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因不可抗力造成违约的，遭受不可抗力的一方应及时向对方通报不能履行或不能完全履行的理由，并在随后取得有关主管部门证明后的15日内向另一方提供不可抗力发生以及持续期间的充分证据。基于以上行为，允许遭受不可抗力一方延期履行、部分履行或者不履行合同，并根据情况可部分或全部免于承担违约责任。</w:t>
      </w:r>
    </w:p>
    <w:p>
      <w:pPr>
        <w:spacing w:line="440" w:lineRule="exact"/>
        <w:contextualSpacing/>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本合同中的不可抗力指不能预见、不能避免并不能克服的客观情况。包括但不限于：自然灾害如地震、台风、洪水、火灾；战争、政府禁令、罢工、法律规定或其适用的变化或者其他任何无法预见、避免或者控制的事件。</w:t>
      </w:r>
    </w:p>
    <w:p>
      <w:pPr>
        <w:spacing w:line="440" w:lineRule="exact"/>
        <w:ind w:firstLine="422"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十七、</w:t>
      </w:r>
      <w:r>
        <w:rPr>
          <w:rFonts w:hint="eastAsia" w:ascii="方正仿宋_GBK" w:hAnsi="方正仿宋_GBK" w:eastAsia="方正仿宋_GBK" w:cs="方正仿宋_GBK"/>
          <w:color w:val="000000" w:themeColor="text1"/>
          <w:szCs w:val="21"/>
          <w:highlight w:val="none"/>
          <w14:textFill>
            <w14:solidFill>
              <w14:schemeClr w14:val="tx1"/>
            </w14:solidFill>
          </w14:textFill>
        </w:rPr>
        <w:t>本合同其他未尽事宜，按国家《中华人民共和国民法典》有关规定处理。</w:t>
      </w:r>
    </w:p>
    <w:p>
      <w:pPr>
        <w:spacing w:line="440" w:lineRule="exact"/>
        <w:ind w:firstLine="422"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十八、</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本合同一式 </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份，甲方</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份，乙方</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份，丙方</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份。</w:t>
      </w:r>
    </w:p>
    <w:p>
      <w:pPr>
        <w:spacing w:line="440" w:lineRule="exact"/>
        <w:ind w:firstLine="422"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十九、</w:t>
      </w:r>
      <w:r>
        <w:rPr>
          <w:rFonts w:hint="eastAsia" w:ascii="方正仿宋_GBK" w:hAnsi="方正仿宋_GBK" w:eastAsia="方正仿宋_GBK" w:cs="方正仿宋_GBK"/>
          <w:color w:val="000000" w:themeColor="text1"/>
          <w:highlight w:val="none"/>
          <w14:textFill>
            <w14:solidFill>
              <w14:schemeClr w14:val="tx1"/>
            </w14:solidFill>
          </w14:textFill>
        </w:rPr>
        <w:t>本</w:t>
      </w:r>
      <w:r>
        <w:rPr>
          <w:rFonts w:hint="eastAsia" w:ascii="方正仿宋_GBK" w:hAnsi="方正仿宋_GBK" w:eastAsia="方正仿宋_GBK" w:cs="方正仿宋_GBK"/>
          <w:color w:val="000000" w:themeColor="text1"/>
          <w:szCs w:val="21"/>
          <w:highlight w:val="none"/>
          <w14:textFill>
            <w14:solidFill>
              <w14:schemeClr w14:val="tx1"/>
            </w14:solidFill>
          </w14:textFill>
        </w:rPr>
        <w:t>合同甲乙双方签字盖章，还应满足以下条件时合同生效：乙方应提交：履约保证金（如有）。</w:t>
      </w:r>
    </w:p>
    <w:p>
      <w:pPr>
        <w:spacing w:line="440" w:lineRule="exact"/>
        <w:ind w:firstLine="422"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highlight w:val="none"/>
          <w14:textFill>
            <w14:solidFill>
              <w14:schemeClr w14:val="tx1"/>
            </w14:solidFill>
          </w14:textFill>
        </w:rPr>
        <w:t>二十、</w:t>
      </w:r>
      <w:r>
        <w:rPr>
          <w:rFonts w:hint="eastAsia" w:ascii="方正仿宋_GBK" w:hAnsi="方正仿宋_GBK" w:eastAsia="方正仿宋_GBK" w:cs="方正仿宋_GBK"/>
          <w:color w:val="000000" w:themeColor="text1"/>
          <w:szCs w:val="21"/>
          <w:highlight w:val="none"/>
          <w14:textFill>
            <w14:solidFill>
              <w14:schemeClr w14:val="tx1"/>
            </w14:solidFill>
          </w14:textFill>
        </w:rPr>
        <w:t>本合同不可分割之部分：</w:t>
      </w:r>
    </w:p>
    <w:p>
      <w:pPr>
        <w:spacing w:line="440" w:lineRule="exact"/>
        <w:ind w:firstLine="420"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1.招标文件；</w:t>
      </w:r>
    </w:p>
    <w:p>
      <w:pPr>
        <w:spacing w:line="440" w:lineRule="exact"/>
        <w:ind w:firstLine="420"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2.中标人投标文件；</w:t>
      </w:r>
    </w:p>
    <w:p>
      <w:pPr>
        <w:spacing w:line="440" w:lineRule="exact"/>
        <w:ind w:firstLine="420"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3.中标通知书；</w:t>
      </w:r>
    </w:p>
    <w:p>
      <w:pPr>
        <w:spacing w:line="440" w:lineRule="exact"/>
        <w:ind w:firstLine="420" w:firstLineChars="200"/>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4.合同书附件。</w:t>
      </w:r>
    </w:p>
    <w:p>
      <w:pPr>
        <w:spacing w:line="440" w:lineRule="exact"/>
        <w:contextualSpacing/>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429" w:name="_Toc17350"/>
      <w:bookmarkStart w:id="430" w:name="_Toc15031"/>
      <w:bookmarkStart w:id="431" w:name="_Toc14897"/>
      <w:bookmarkStart w:id="432" w:name="_Toc4172"/>
      <w:bookmarkStart w:id="433" w:name="_Toc9284"/>
      <w:r>
        <w:rPr>
          <w:rFonts w:hint="eastAsia" w:ascii="方正仿宋_GBK" w:hAnsi="方正仿宋_GBK" w:eastAsia="方正仿宋_GBK" w:cs="方正仿宋_GBK"/>
          <w:color w:val="000000" w:themeColor="text1"/>
          <w:highlight w:val="none"/>
          <w14:textFill>
            <w14:solidFill>
              <w14:schemeClr w14:val="tx1"/>
            </w14:solidFill>
          </w14:textFill>
        </w:rPr>
        <w:t>第四章 投标文件格式</w:t>
      </w:r>
      <w:bookmarkEnd w:id="428"/>
      <w:bookmarkEnd w:id="429"/>
      <w:bookmarkEnd w:id="430"/>
      <w:bookmarkEnd w:id="431"/>
      <w:bookmarkEnd w:id="432"/>
      <w:bookmarkEnd w:id="433"/>
    </w:p>
    <w:p>
      <w:pPr>
        <w:widowControl/>
        <w:spacing w:line="440" w:lineRule="exact"/>
        <w:jc w:val="center"/>
        <w:rPr>
          <w:rFonts w:hint="eastAsia" w:ascii="方正仿宋_GBK" w:hAnsi="方正仿宋_GBK" w:eastAsia="方正仿宋_GBK" w:cs="方正仿宋_GBK"/>
          <w:b/>
          <w:color w:val="000000" w:themeColor="text1"/>
          <w:sz w:val="36"/>
          <w:szCs w:val="36"/>
          <w:highlight w:val="none"/>
          <w14:textFill>
            <w14:solidFill>
              <w14:schemeClr w14:val="tx1"/>
            </w14:solidFill>
          </w14:textFill>
        </w:rPr>
      </w:pPr>
    </w:p>
    <w:p>
      <w:pPr>
        <w:widowControl/>
        <w:spacing w:line="360" w:lineRule="auto"/>
        <w:jc w:val="center"/>
        <w:rPr>
          <w:rFonts w:hint="eastAsia" w:ascii="方正仿宋_GBK" w:hAnsi="方正仿宋_GBK" w:eastAsia="方正仿宋_GBK" w:cs="方正仿宋_GBK"/>
          <w:b/>
          <w:bCs/>
          <w:color w:val="000000" w:themeColor="text1"/>
          <w:sz w:val="44"/>
          <w:szCs w:val="44"/>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44"/>
          <w:szCs w:val="44"/>
          <w:highlight w:val="none"/>
          <w:lang w:eastAsia="zh-CN"/>
          <w14:textFill>
            <w14:solidFill>
              <w14:schemeClr w14:val="tx1"/>
            </w14:solidFill>
          </w14:textFill>
        </w:rPr>
        <w:t>省自然资源厅云南省地质灾害隐患识别系统运行维护2025年度项目</w:t>
      </w:r>
    </w:p>
    <w:p>
      <w:pPr>
        <w:widowControl/>
        <w:spacing w:line="360" w:lineRule="auto"/>
        <w:jc w:val="center"/>
        <w:rPr>
          <w:rFonts w:hint="eastAsia" w:ascii="方正仿宋_GBK" w:hAnsi="方正仿宋_GBK" w:eastAsia="方正仿宋_GBK" w:cs="方正仿宋_GBK"/>
          <w:b/>
          <w:color w:val="000000" w:themeColor="text1"/>
          <w:sz w:val="36"/>
          <w:szCs w:val="36"/>
          <w:highlight w:val="none"/>
          <w14:textFill>
            <w14:solidFill>
              <w14:schemeClr w14:val="tx1"/>
            </w14:solidFill>
          </w14:textFill>
        </w:rPr>
      </w:pPr>
    </w:p>
    <w:p>
      <w:pPr>
        <w:widowControl/>
        <w:spacing w:line="360" w:lineRule="auto"/>
        <w:jc w:val="center"/>
        <w:rPr>
          <w:rFonts w:hint="eastAsia" w:ascii="方正仿宋_GBK" w:hAnsi="方正仿宋_GBK" w:eastAsia="方正仿宋_GBK" w:cs="方正仿宋_GBK"/>
          <w:b/>
          <w:color w:val="000000" w:themeColor="text1"/>
          <w:sz w:val="36"/>
          <w:szCs w:val="36"/>
          <w:highlight w:val="none"/>
          <w14:textFill>
            <w14:solidFill>
              <w14:schemeClr w14:val="tx1"/>
            </w14:solidFill>
          </w14:textFill>
        </w:rPr>
      </w:pPr>
    </w:p>
    <w:p>
      <w:pPr>
        <w:pStyle w:val="23"/>
        <w:spacing w:line="360" w:lineRule="auto"/>
        <w:jc w:val="cente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p>
    <w:p>
      <w:pPr>
        <w:pStyle w:val="23"/>
        <w:spacing w:line="360" w:lineRule="auto"/>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t>投 标 文 件</w:t>
      </w:r>
    </w:p>
    <w:p>
      <w:pPr>
        <w:pStyle w:val="23"/>
        <w:spacing w:line="360" w:lineRule="auto"/>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p>
    <w:p>
      <w:pPr>
        <w:pStyle w:val="23"/>
        <w:spacing w:line="360" w:lineRule="auto"/>
        <w:rPr>
          <w:rFonts w:hint="eastAsia" w:ascii="方正仿宋_GBK" w:hAnsi="方正仿宋_GBK" w:eastAsia="方正仿宋_GBK" w:cs="方正仿宋_GBK"/>
          <w:b/>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                    项目编号：        </w:t>
      </w:r>
    </w:p>
    <w:p>
      <w:pPr>
        <w:pStyle w:val="23"/>
        <w:spacing w:line="360" w:lineRule="auto"/>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p>
    <w:p>
      <w:pPr>
        <w:pStyle w:val="23"/>
        <w:spacing w:line="360" w:lineRule="auto"/>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p>
    <w:p>
      <w:pPr>
        <w:spacing w:line="360" w:lineRule="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p>
    <w:p>
      <w:pPr>
        <w:pStyle w:val="23"/>
        <w:spacing w:line="360" w:lineRule="auto"/>
        <w:jc w:val="center"/>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日</w:t>
      </w:r>
    </w:p>
    <w:p>
      <w:pPr>
        <w:keepNext w:val="0"/>
        <w:keepLines w:val="0"/>
        <w:pageBreakBefore/>
        <w:widowControl w:val="0"/>
        <w:kinsoku/>
        <w:wordWrap/>
        <w:overflowPunct/>
        <w:topLinePunct w:val="0"/>
        <w:autoSpaceDE/>
        <w:autoSpaceDN/>
        <w:bidi w:val="0"/>
        <w:adjustRightInd/>
        <w:snapToGrid/>
        <w:textAlignment w:val="auto"/>
        <w:rPr>
          <w:rFonts w:hint="eastAsia"/>
          <w:color w:val="000000" w:themeColor="text1"/>
          <w:highlight w:val="none"/>
          <w14:textFill>
            <w14:solidFill>
              <w14:schemeClr w14:val="tx1"/>
            </w14:solidFill>
          </w14:textFill>
        </w:rPr>
      </w:pPr>
    </w:p>
    <w:p>
      <w:pPr>
        <w:pStyle w:val="6"/>
        <w:spacing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434" w:name="_Toc100692916"/>
      <w:bookmarkStart w:id="435" w:name="_Toc5627"/>
      <w:bookmarkStart w:id="436" w:name="_Toc28595"/>
      <w:bookmarkStart w:id="437" w:name="_Toc28721"/>
      <w:bookmarkStart w:id="438" w:name="_Toc22786"/>
      <w:bookmarkStart w:id="439" w:name="_Toc1069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一、</w:t>
      </w:r>
      <w:bookmarkEnd w:id="434"/>
      <w:bookmarkStart w:id="440" w:name="_Toc489197867"/>
      <w:bookmarkStart w:id="441" w:name="_Toc481694856"/>
      <w:bookmarkStart w:id="442" w:name="_Toc213141103"/>
      <w:bookmarkStart w:id="443" w:name="_Toc488633628"/>
      <w:bookmarkStart w:id="444" w:name="_Toc489145763"/>
      <w:r>
        <w:rPr>
          <w:rFonts w:hint="eastAsia" w:ascii="方正仿宋_GBK" w:hAnsi="方正仿宋_GBK" w:eastAsia="方正仿宋_GBK" w:cs="方正仿宋_GBK"/>
          <w:color w:val="000000" w:themeColor="text1"/>
          <w:highlight w:val="none"/>
          <w14:textFill>
            <w14:solidFill>
              <w14:schemeClr w14:val="tx1"/>
            </w14:solidFill>
          </w14:textFill>
        </w:rPr>
        <w:t>资格证明文件</w:t>
      </w:r>
      <w:bookmarkEnd w:id="435"/>
      <w:bookmarkEnd w:id="436"/>
      <w:bookmarkEnd w:id="437"/>
      <w:bookmarkEnd w:id="438"/>
      <w:bookmarkEnd w:id="439"/>
      <w:bookmarkEnd w:id="440"/>
      <w:bookmarkEnd w:id="441"/>
      <w:bookmarkEnd w:id="442"/>
      <w:bookmarkEnd w:id="443"/>
      <w:bookmarkEnd w:id="444"/>
    </w:p>
    <w:p>
      <w:pPr>
        <w:pStyle w:val="23"/>
        <w:spacing w:line="440" w:lineRule="exact"/>
        <w:ind w:left="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1.投标人应按所附格式要求填写并提交。</w:t>
      </w:r>
    </w:p>
    <w:p>
      <w:pPr>
        <w:pStyle w:val="23"/>
        <w:spacing w:line="440" w:lineRule="exact"/>
        <w:ind w:left="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2.资格声明中的签章人应保证全部声明和填写的内容是真实的和正确的。</w:t>
      </w:r>
    </w:p>
    <w:p>
      <w:pPr>
        <w:pStyle w:val="23"/>
        <w:spacing w:line="440" w:lineRule="exact"/>
        <w:ind w:left="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3.投标人提交的材料将被保密，但不退还。</w:t>
      </w:r>
    </w:p>
    <w:p>
      <w:pPr>
        <w:pStyle w:val="23"/>
        <w:spacing w:line="440" w:lineRule="exact"/>
        <w:ind w:left="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45" w:name="_Toc31970"/>
      <w:bookmarkStart w:id="446" w:name="_Toc32469"/>
      <w:bookmarkStart w:id="447" w:name="_Toc9472"/>
      <w:bookmarkStart w:id="448" w:name="_Toc19912"/>
      <w:bookmarkStart w:id="449" w:name="_Toc5207"/>
      <w:r>
        <w:rPr>
          <w:rFonts w:hint="eastAsia" w:ascii="方正仿宋_GBK" w:hAnsi="方正仿宋_GBK" w:eastAsia="方正仿宋_GBK" w:cs="方正仿宋_GBK"/>
          <w:color w:val="000000" w:themeColor="text1"/>
          <w:highlight w:val="none"/>
          <w14:textFill>
            <w14:solidFill>
              <w14:schemeClr w14:val="tx1"/>
            </w14:solidFill>
          </w14:textFill>
        </w:rPr>
        <w:t>（一）具有独立承担民事责任的能力</w:t>
      </w:r>
      <w:bookmarkEnd w:id="445"/>
      <w:bookmarkEnd w:id="446"/>
      <w:bookmarkEnd w:id="447"/>
      <w:bookmarkEnd w:id="448"/>
      <w:bookmarkEnd w:id="449"/>
    </w:p>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符合第二章《投标人须知前附表》第4.1项规定</w:t>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50" w:name="_Toc25781"/>
      <w:bookmarkStart w:id="451" w:name="_Toc5281"/>
      <w:bookmarkStart w:id="452" w:name="_Toc22122"/>
      <w:bookmarkStart w:id="453" w:name="_Toc25505"/>
      <w:bookmarkStart w:id="454" w:name="_Toc13284"/>
      <w:r>
        <w:rPr>
          <w:rFonts w:hint="eastAsia" w:ascii="方正仿宋_GBK" w:hAnsi="方正仿宋_GBK" w:eastAsia="方正仿宋_GBK" w:cs="方正仿宋_GBK"/>
          <w:color w:val="000000" w:themeColor="text1"/>
          <w:highlight w:val="none"/>
          <w14:textFill>
            <w14:solidFill>
              <w14:schemeClr w14:val="tx1"/>
            </w14:solidFill>
          </w14:textFill>
        </w:rPr>
        <w:t>（二）具有良好的商业信誉和健全的财务会计制度</w:t>
      </w:r>
      <w:bookmarkEnd w:id="450"/>
      <w:bookmarkEnd w:id="451"/>
      <w:bookmarkEnd w:id="452"/>
      <w:bookmarkEnd w:id="453"/>
      <w:bookmarkEnd w:id="454"/>
    </w:p>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符合第二章《投标人须知前附表》第4.1项规定</w:t>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55" w:name="_Toc31734"/>
      <w:bookmarkStart w:id="456" w:name="_Toc9085"/>
      <w:bookmarkStart w:id="457" w:name="_Toc30960"/>
      <w:bookmarkStart w:id="458" w:name="_Toc28680"/>
      <w:bookmarkStart w:id="459" w:name="_Toc20466"/>
      <w:r>
        <w:rPr>
          <w:rFonts w:hint="eastAsia" w:ascii="方正仿宋_GBK" w:hAnsi="方正仿宋_GBK" w:eastAsia="方正仿宋_GBK" w:cs="方正仿宋_GBK"/>
          <w:color w:val="000000" w:themeColor="text1"/>
          <w:highlight w:val="none"/>
          <w14:textFill>
            <w14:solidFill>
              <w14:schemeClr w14:val="tx1"/>
            </w14:solidFill>
          </w14:textFill>
        </w:rPr>
        <w:t>（三）具有履行合同所必需的设备和专业技术能力</w:t>
      </w:r>
      <w:bookmarkEnd w:id="455"/>
      <w:bookmarkEnd w:id="456"/>
      <w:bookmarkEnd w:id="457"/>
      <w:bookmarkEnd w:id="458"/>
      <w:bookmarkEnd w:id="459"/>
    </w:p>
    <w:p>
      <w:pPr>
        <w:pStyle w:val="23"/>
        <w:spacing w:line="440" w:lineRule="exact"/>
        <w:ind w:left="420"/>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提供书面承诺书或证明材料</w:t>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60" w:name="_Toc19723"/>
      <w:bookmarkStart w:id="461" w:name="_Toc7553"/>
      <w:bookmarkStart w:id="462" w:name="_Toc24802"/>
      <w:bookmarkStart w:id="463" w:name="_Toc5020"/>
      <w:bookmarkStart w:id="464" w:name="_Toc5252"/>
      <w:r>
        <w:rPr>
          <w:rFonts w:hint="eastAsia" w:ascii="方正仿宋_GBK" w:hAnsi="方正仿宋_GBK" w:eastAsia="方正仿宋_GBK" w:cs="方正仿宋_GBK"/>
          <w:color w:val="000000" w:themeColor="text1"/>
          <w:highlight w:val="none"/>
          <w14:textFill>
            <w14:solidFill>
              <w14:schemeClr w14:val="tx1"/>
            </w14:solidFill>
          </w14:textFill>
        </w:rPr>
        <w:t>（四）有依法缴纳税收和社会保障资金的良好记录</w:t>
      </w:r>
      <w:bookmarkEnd w:id="460"/>
      <w:bookmarkEnd w:id="461"/>
      <w:bookmarkEnd w:id="462"/>
      <w:bookmarkEnd w:id="463"/>
      <w:bookmarkEnd w:id="464"/>
    </w:p>
    <w:p>
      <w:pPr>
        <w:spacing w:line="440" w:lineRule="exact"/>
        <w:ind w:firstLine="420" w:firstLineChars="200"/>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符合第二章《投标人须知前附表》第4.1项规定</w:t>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65" w:name="_Toc8489"/>
      <w:bookmarkStart w:id="466" w:name="_Toc658"/>
      <w:bookmarkStart w:id="467" w:name="_Toc8698"/>
      <w:bookmarkStart w:id="468" w:name="_Toc20689"/>
      <w:bookmarkStart w:id="469" w:name="_Toc8946"/>
      <w:r>
        <w:rPr>
          <w:rFonts w:hint="eastAsia" w:ascii="方正仿宋_GBK" w:hAnsi="方正仿宋_GBK" w:eastAsia="方正仿宋_GBK" w:cs="方正仿宋_GBK"/>
          <w:color w:val="000000" w:themeColor="text1"/>
          <w:highlight w:val="none"/>
          <w14:textFill>
            <w14:solidFill>
              <w14:schemeClr w14:val="tx1"/>
            </w14:solidFill>
          </w14:textFill>
        </w:rPr>
        <w:t>（五）参加本次政府采购活动前3年内在经营活动中没有重大违法记录</w:t>
      </w:r>
      <w:bookmarkEnd w:id="465"/>
      <w:bookmarkEnd w:id="466"/>
      <w:bookmarkEnd w:id="467"/>
      <w:bookmarkEnd w:id="468"/>
      <w:bookmarkEnd w:id="469"/>
    </w:p>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提供书面声明，格式自拟</w:t>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70" w:name="_Toc23555"/>
      <w:bookmarkStart w:id="471" w:name="_Toc28074"/>
      <w:bookmarkStart w:id="472" w:name="_Toc8061"/>
      <w:bookmarkStart w:id="473" w:name="_Toc1503"/>
      <w:bookmarkStart w:id="474" w:name="_Toc18797"/>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六</w:t>
      </w:r>
      <w:r>
        <w:rPr>
          <w:rFonts w:hint="eastAsia" w:ascii="方正仿宋_GBK" w:hAnsi="方正仿宋_GBK" w:eastAsia="方正仿宋_GBK" w:cs="方正仿宋_GBK"/>
          <w:color w:val="000000" w:themeColor="text1"/>
          <w:highlight w:val="none"/>
          <w14:textFill>
            <w14:solidFill>
              <w14:schemeClr w14:val="tx1"/>
            </w14:solidFill>
          </w14:textFill>
        </w:rPr>
        <w:t>）符合法律、行政法规规定的其他条件：</w:t>
      </w:r>
      <w:bookmarkEnd w:id="470"/>
      <w:bookmarkEnd w:id="471"/>
      <w:bookmarkEnd w:id="472"/>
      <w:bookmarkEnd w:id="473"/>
      <w:bookmarkEnd w:id="474"/>
    </w:p>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符合第二章《投标人须知前附表》第4.1项规定</w:t>
      </w:r>
    </w:p>
    <w:p>
      <w:pP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75" w:name="_Toc10323"/>
      <w:bookmarkStart w:id="476" w:name="_Toc20597"/>
      <w:bookmarkStart w:id="477" w:name="_Toc31307"/>
      <w:bookmarkStart w:id="478" w:name="_Toc27351"/>
      <w:bookmarkStart w:id="479" w:name="_Toc31697"/>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七</w:t>
      </w:r>
      <w:r>
        <w:rPr>
          <w:rFonts w:hint="eastAsia" w:ascii="方正仿宋_GBK" w:hAnsi="方正仿宋_GBK" w:eastAsia="方正仿宋_GBK" w:cs="方正仿宋_GBK"/>
          <w:color w:val="000000" w:themeColor="text1"/>
          <w:highlight w:val="none"/>
          <w14:textFill>
            <w14:solidFill>
              <w14:schemeClr w14:val="tx1"/>
            </w14:solidFill>
          </w14:textFill>
        </w:rPr>
        <w:t>）投标人满足招标文件其他资格条件的声明</w:t>
      </w:r>
      <w:bookmarkEnd w:id="475"/>
      <w:bookmarkEnd w:id="476"/>
      <w:bookmarkEnd w:id="477"/>
      <w:bookmarkEnd w:id="478"/>
      <w:bookmarkEnd w:id="479"/>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致：</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（采购人名称）</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我单位作为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（项目名称）的投标人，完全满足招标文件中规定的其他资格条件并声明如下：</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1.具有独立承担民事责任的能力。</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2.我公司具有良好的商业信誉和健全的财务会计制度。</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3.我公司具有履行本项目采购合同所必需的设备和专业技术能力。</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4.我公司具有依法缴纳税收和社会保障资金的良好记录。</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5.我公司在参与本次政府采购活动之前三年内，在经营活动中无重大违法记录。</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6.我公司在参与本次政府采购活动时未受到任何地方政府采购部门作出的暂停参加政府采购活动的处罚。</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7.与单位负责人为同一人或者存在控股、管理关系的不同单位，未参加本项目的投标；</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8.我单位未为本采购项目提供整体设计、规范编制或者项目管理、监理、检测等服务。</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9.我单位保证所提供的资料真实有效，若提供虚假材料，我单位将无条件承担因此造成的一切后果及责任。</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 xml:space="preserve"> （加盖电子公章）</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法定代表人或委托代理人：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highlight w:val="none"/>
          <w14:textFill>
            <w14:solidFill>
              <w14:schemeClr w14:val="tx1"/>
            </w14:solidFill>
          </w14:textFill>
        </w:rPr>
        <w:t>（电子签章）</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日期：     年     月    日</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备注：请投标人如实作出声明，如有虚假投标无效且将无条件承担因此造成的一切后果及责任。</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80" w:name="_Toc9252"/>
      <w:bookmarkStart w:id="481" w:name="_Toc32361"/>
      <w:bookmarkStart w:id="482" w:name="_Toc6913"/>
      <w:bookmarkStart w:id="483" w:name="_Toc25388"/>
      <w:bookmarkStart w:id="484" w:name="_Toc15306"/>
      <w:bookmarkStart w:id="485" w:name="_Toc131441817"/>
      <w:bookmarkStart w:id="486" w:name="_Toc112772373"/>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八</w:t>
      </w:r>
      <w:r>
        <w:rPr>
          <w:rFonts w:hint="eastAsia" w:ascii="方正仿宋_GBK" w:hAnsi="方正仿宋_GBK" w:eastAsia="方正仿宋_GBK" w:cs="方正仿宋_GBK"/>
          <w:color w:val="000000" w:themeColor="text1"/>
          <w:highlight w:val="none"/>
          <w14:textFill>
            <w14:solidFill>
              <w14:schemeClr w14:val="tx1"/>
            </w14:solidFill>
          </w14:textFill>
        </w:rPr>
        <w:t>）其他</w:t>
      </w:r>
      <w:bookmarkEnd w:id="480"/>
      <w:bookmarkEnd w:id="481"/>
      <w:bookmarkEnd w:id="482"/>
      <w:bookmarkEnd w:id="483"/>
      <w:bookmarkEnd w:id="484"/>
    </w:p>
    <w:p>
      <w:pPr>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投标人认为有必要提供或招标文件要求的其他资格证明材料</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p>
    <w:bookmarkEnd w:id="485"/>
    <w:bookmarkEnd w:id="486"/>
    <w:p>
      <w:pPr>
        <w:pStyle w:val="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487" w:name="_Toc31297"/>
      <w:bookmarkStart w:id="488" w:name="_Toc10473"/>
      <w:bookmarkStart w:id="489" w:name="_Toc9777"/>
      <w:bookmarkStart w:id="490" w:name="_Toc18355"/>
      <w:bookmarkStart w:id="491" w:name="_Toc22208"/>
      <w:r>
        <w:rPr>
          <w:rFonts w:hint="eastAsia" w:ascii="方正仿宋_GBK" w:hAnsi="方正仿宋_GBK" w:eastAsia="方正仿宋_GBK" w:cs="方正仿宋_GBK"/>
          <w:color w:val="000000" w:themeColor="text1"/>
          <w:highlight w:val="none"/>
          <w14:textFill>
            <w14:solidFill>
              <w14:schemeClr w14:val="tx1"/>
            </w14:solidFill>
          </w14:textFill>
        </w:rPr>
        <w:t>二、报价文件部分</w:t>
      </w:r>
      <w:bookmarkEnd w:id="487"/>
      <w:bookmarkEnd w:id="488"/>
      <w:bookmarkEnd w:id="489"/>
      <w:bookmarkEnd w:id="490"/>
      <w:bookmarkEnd w:id="491"/>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492" w:name="_Toc536105579"/>
      <w:bookmarkStart w:id="493" w:name="_Toc20990"/>
      <w:bookmarkStart w:id="494" w:name="_Toc27832"/>
      <w:bookmarkStart w:id="495" w:name="_Toc536105654"/>
      <w:bookmarkStart w:id="496" w:name="_Toc15414"/>
      <w:bookmarkStart w:id="497" w:name="_Toc25371"/>
      <w:bookmarkStart w:id="498" w:name="_Toc17003"/>
      <w:r>
        <w:rPr>
          <w:rFonts w:hint="eastAsia" w:ascii="方正仿宋_GBK" w:hAnsi="方正仿宋_GBK" w:eastAsia="方正仿宋_GBK" w:cs="方正仿宋_GBK"/>
          <w:color w:val="000000" w:themeColor="text1"/>
          <w:highlight w:val="none"/>
          <w14:textFill>
            <w14:solidFill>
              <w14:schemeClr w14:val="tx1"/>
            </w14:solidFill>
          </w14:textFill>
        </w:rPr>
        <w:t>（一）投标（唱标）一览表</w:t>
      </w:r>
      <w:bookmarkEnd w:id="492"/>
      <w:bookmarkEnd w:id="493"/>
      <w:bookmarkEnd w:id="494"/>
      <w:bookmarkEnd w:id="495"/>
      <w:bookmarkEnd w:id="496"/>
      <w:bookmarkEnd w:id="497"/>
      <w:bookmarkEnd w:id="498"/>
    </w:p>
    <w:p>
      <w:pPr>
        <w:spacing w:line="440" w:lineRule="exact"/>
        <w:ind w:left="-283" w:leftChars="-135"/>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项目名称：</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省自然资源厅云南省地质灾害隐患识别系统运行维护2025年度项目</w:t>
      </w:r>
    </w:p>
    <w:p>
      <w:pPr>
        <w:spacing w:line="440" w:lineRule="exact"/>
        <w:ind w:left="-283" w:leftChars="-135"/>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项目编号：</w:t>
      </w:r>
    </w:p>
    <w:tbl>
      <w:tblPr>
        <w:tblStyle w:val="41"/>
        <w:tblW w:w="55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6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000" w:type="pct"/>
            <w:gridSpan w:val="2"/>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462" w:type="pct"/>
            <w:vMerge w:val="restar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投标总报价（元）                         </w:t>
            </w:r>
          </w:p>
        </w:tc>
        <w:tc>
          <w:tcPr>
            <w:tcW w:w="3537"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462" w:type="pct"/>
            <w:vMerge w:val="continue"/>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3537"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462"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服务期限</w:t>
            </w:r>
          </w:p>
        </w:tc>
        <w:tc>
          <w:tcPr>
            <w:tcW w:w="3537"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462"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服务承诺</w:t>
            </w:r>
          </w:p>
        </w:tc>
        <w:tc>
          <w:tcPr>
            <w:tcW w:w="3537"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462" w:type="pct"/>
            <w:vAlign w:val="center"/>
          </w:tcPr>
          <w:p>
            <w:pPr>
              <w:spacing w:line="440" w:lineRule="exact"/>
              <w:ind w:firstLine="14" w:firstLineChars="7"/>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其他说明</w:t>
            </w:r>
          </w:p>
        </w:tc>
        <w:tc>
          <w:tcPr>
            <w:tcW w:w="3537" w:type="pct"/>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bl>
    <w:p>
      <w:pPr>
        <w:spacing w:line="440" w:lineRule="exact"/>
        <w:ind w:left="513" w:leftChars="15" w:hanging="482" w:hangingChars="200"/>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法定代表人或委托代理人：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（电子签章）</w:t>
      </w:r>
    </w:p>
    <w:p>
      <w:pPr>
        <w:pStyle w:val="23"/>
        <w:spacing w:line="440" w:lineRule="exact"/>
        <w:ind w:firstLine="42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bookmarkStart w:id="499" w:name="_Toc488633615"/>
      <w:bookmarkStart w:id="500" w:name="_Toc489145750"/>
      <w:bookmarkStart w:id="501" w:name="_Toc489197854"/>
      <w:bookmarkStart w:id="502" w:name="_Toc481694844"/>
      <w:bookmarkStart w:id="503" w:name="_Toc213141093"/>
    </w:p>
    <w:p>
      <w:pPr>
        <w:pStyle w:val="6"/>
        <w:spacing w:line="440" w:lineRule="exact"/>
        <w:rPr>
          <w:rFonts w:hint="eastAsia" w:ascii="方正仿宋_GBK" w:hAnsi="方正仿宋_GBK" w:eastAsia="方正仿宋_GBK" w:cs="方正仿宋_GBK"/>
          <w:bCs/>
          <w:color w:val="000000" w:themeColor="text1"/>
          <w:highlight w:val="none"/>
          <w14:textFill>
            <w14:solidFill>
              <w14:schemeClr w14:val="tx1"/>
            </w14:solidFill>
          </w14:textFill>
        </w:rPr>
      </w:pPr>
      <w:bookmarkStart w:id="504" w:name="_Toc2670"/>
      <w:bookmarkStart w:id="505" w:name="_Toc13725"/>
      <w:bookmarkStart w:id="506" w:name="_Toc31118"/>
      <w:bookmarkStart w:id="507" w:name="_Toc24241"/>
      <w:bookmarkStart w:id="508" w:name="_Toc20089"/>
      <w:r>
        <w:rPr>
          <w:rFonts w:hint="eastAsia" w:ascii="方正仿宋_GBK" w:hAnsi="方正仿宋_GBK" w:eastAsia="方正仿宋_GBK" w:cs="方正仿宋_GBK"/>
          <w:color w:val="000000" w:themeColor="text1"/>
          <w:highlight w:val="none"/>
          <w14:textFill>
            <w14:solidFill>
              <w14:schemeClr w14:val="tx1"/>
            </w14:solidFill>
          </w14:textFill>
        </w:rPr>
        <w:t>三、商务及技术部分</w:t>
      </w:r>
      <w:bookmarkEnd w:id="504"/>
      <w:bookmarkEnd w:id="505"/>
      <w:bookmarkEnd w:id="506"/>
      <w:bookmarkEnd w:id="507"/>
      <w:bookmarkEnd w:id="508"/>
    </w:p>
    <w:bookmarkEnd w:id="499"/>
    <w:bookmarkEnd w:id="500"/>
    <w:bookmarkEnd w:id="501"/>
    <w:bookmarkEnd w:id="502"/>
    <w:bookmarkEnd w:id="503"/>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509" w:name="_Toc18946"/>
      <w:bookmarkStart w:id="510" w:name="_Toc6117"/>
      <w:bookmarkStart w:id="511" w:name="_Toc23474"/>
      <w:bookmarkStart w:id="512" w:name="_Toc15491"/>
      <w:bookmarkStart w:id="513" w:name="_Toc2545"/>
      <w:r>
        <w:rPr>
          <w:rFonts w:hint="eastAsia" w:ascii="方正仿宋_GBK" w:hAnsi="方正仿宋_GBK" w:eastAsia="方正仿宋_GBK" w:cs="方正仿宋_GBK"/>
          <w:color w:val="000000" w:themeColor="text1"/>
          <w:highlight w:val="none"/>
          <w14:textFill>
            <w14:solidFill>
              <w14:schemeClr w14:val="tx1"/>
            </w14:solidFill>
          </w14:textFill>
        </w:rPr>
        <w:t>（一）投  标  函</w:t>
      </w:r>
      <w:bookmarkEnd w:id="509"/>
      <w:bookmarkEnd w:id="510"/>
      <w:bookmarkEnd w:id="511"/>
      <w:bookmarkEnd w:id="512"/>
      <w:bookmarkEnd w:id="513"/>
    </w:p>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（采购人名称）</w:t>
      </w:r>
    </w:p>
    <w:p>
      <w:pPr>
        <w:pStyle w:val="23"/>
        <w:spacing w:line="440" w:lineRule="exact"/>
        <w:ind w:firstLine="482"/>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我方仔细研究了</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（采购项目名称）   </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（项目编号：</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）项目招标文件的全部内容，正式授权下述签章人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（姓名和职务）     </w:t>
      </w:r>
      <w:r>
        <w:rPr>
          <w:rFonts w:hint="eastAsia" w:ascii="方正仿宋_GBK" w:hAnsi="方正仿宋_GBK" w:eastAsia="方正仿宋_GBK" w:cs="方正仿宋_GBK"/>
          <w:color w:val="000000" w:themeColor="text1"/>
          <w:szCs w:val="21"/>
          <w:highlight w:val="none"/>
          <w14:textFill>
            <w14:solidFill>
              <w14:schemeClr w14:val="tx1"/>
            </w14:solidFill>
          </w14:textFill>
        </w:rPr>
        <w:t>全权代表投标人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（投标人全称）   </w:t>
      </w:r>
      <w:r>
        <w:rPr>
          <w:rFonts w:hint="eastAsia" w:ascii="方正仿宋_GBK" w:hAnsi="方正仿宋_GBK" w:eastAsia="方正仿宋_GBK" w:cs="方正仿宋_GBK"/>
          <w:color w:val="000000" w:themeColor="text1"/>
          <w:szCs w:val="21"/>
          <w:highlight w:val="none"/>
          <w14:textFill>
            <w14:solidFill>
              <w14:schemeClr w14:val="tx1"/>
            </w14:solidFill>
          </w14:textFill>
        </w:rPr>
        <w:t>参加投标，并按规定提交投标文件。</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据此函，签章人兹宣布同意如下：</w:t>
      </w:r>
    </w:p>
    <w:p>
      <w:pPr>
        <w:pStyle w:val="23"/>
        <w:spacing w:line="440" w:lineRule="exact"/>
        <w:ind w:left="630" w:leftChars="200" w:hanging="210" w:hangingChars="1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1.按招标文件采购需求及技术要求和投标报价汇总表，投标报价（大写）</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，人民币（￥</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元</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）；服务期限：</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pStyle w:val="23"/>
        <w:spacing w:line="440" w:lineRule="exact"/>
        <w:ind w:firstLine="420"/>
        <w:rPr>
          <w:rFonts w:hint="eastAsia" w:ascii="方正仿宋_GBK" w:hAnsi="方正仿宋_GBK" w:eastAsia="方正仿宋_GBK" w:cs="方正仿宋_GBK"/>
          <w:color w:val="000000" w:themeColor="text1"/>
          <w:spacing w:val="-10"/>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w:t>
      </w:r>
      <w:r>
        <w:rPr>
          <w:rFonts w:hint="eastAsia" w:ascii="方正仿宋_GBK" w:hAnsi="方正仿宋_GBK" w:eastAsia="方正仿宋_GBK" w:cs="方正仿宋_GBK"/>
          <w:color w:val="000000" w:themeColor="text1"/>
          <w:spacing w:val="-10"/>
          <w:szCs w:val="21"/>
          <w:highlight w:val="none"/>
          <w14:textFill>
            <w14:solidFill>
              <w14:schemeClr w14:val="tx1"/>
            </w14:solidFill>
          </w14:textFill>
        </w:rPr>
        <w:t>我方已详细审查全部招标文件，包括</w:t>
      </w:r>
      <w:r>
        <w:rPr>
          <w:rFonts w:hint="eastAsia" w:ascii="方正仿宋_GBK" w:hAnsi="方正仿宋_GBK" w:eastAsia="方正仿宋_GBK" w:cs="方正仿宋_GBK"/>
          <w:color w:val="000000" w:themeColor="text1"/>
          <w:spacing w:val="-10"/>
          <w:szCs w:val="21"/>
          <w:highlight w:val="none"/>
          <w:u w:val="single"/>
          <w14:textFill>
            <w14:solidFill>
              <w14:schemeClr w14:val="tx1"/>
            </w14:solidFill>
          </w14:textFill>
        </w:rPr>
        <w:t>（澄清文件）（如有）</w:t>
      </w:r>
      <w:r>
        <w:rPr>
          <w:rFonts w:hint="eastAsia" w:ascii="方正仿宋_GBK" w:hAnsi="方正仿宋_GBK" w:eastAsia="方正仿宋_GBK" w:cs="方正仿宋_GBK"/>
          <w:color w:val="000000" w:themeColor="text1"/>
          <w:spacing w:val="-10"/>
          <w:szCs w:val="21"/>
          <w:highlight w:val="none"/>
          <w14:textFill>
            <w14:solidFill>
              <w14:schemeClr w14:val="tx1"/>
            </w14:solidFill>
          </w14:textFill>
        </w:rPr>
        <w:t>。我方完全理解相关文件要求，并承担对这方面有不明及误解的后果。</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3.在投标人须知规定的开标日期起遵循本投标文件，并在投标人须知第17.1条规定的投标文件有效期满之前均具有约束力。</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4.同意应贵方要求提供与本次投标有关的任何数据或资料，并保证数据和资料的完整性和真实性。</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5.完全理解贵方不一定要接受最低报价的投标人为中标人的行为。</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6.如我方中标：</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（1）我方承诺在收到中标通知书后，在中标通知书规定的期限内与你方签订合同，并履行相应的合同责任和义务。</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（2）我方承诺按照招标文件规定向你方递交履约保证金（如有）。</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（3）我方承诺将承担售后服务及保修责任。</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7.我方在此声明，所递交的投标文件及有关资料内容完整、真实和准确。</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8．</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（其他补充说明）。</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与本投标有关的正式通讯地址为：</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投标人地址：</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邮政编码：</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电话：</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传真：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开户名称：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开户银行：</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账    号：</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法定代表人或委托代理人：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（电子签章）</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514" w:name="_Toc4526"/>
      <w:bookmarkStart w:id="515" w:name="_Toc31759"/>
      <w:bookmarkStart w:id="516" w:name="_Toc9922"/>
      <w:bookmarkStart w:id="517" w:name="_Toc6548"/>
      <w:bookmarkStart w:id="518" w:name="_Toc2705"/>
      <w:bookmarkStart w:id="519" w:name="_Toc481694845"/>
      <w:bookmarkStart w:id="520" w:name="_Toc489145751"/>
      <w:bookmarkStart w:id="521" w:name="_Toc488633616"/>
      <w:bookmarkStart w:id="522" w:name="_Toc489197855"/>
      <w:r>
        <w:rPr>
          <w:rFonts w:hint="eastAsia" w:ascii="方正仿宋_GBK" w:hAnsi="方正仿宋_GBK" w:eastAsia="方正仿宋_GBK" w:cs="方正仿宋_GBK"/>
          <w:color w:val="000000" w:themeColor="text1"/>
          <w:highlight w:val="none"/>
          <w14:textFill>
            <w14:solidFill>
              <w14:schemeClr w14:val="tx1"/>
            </w14:solidFill>
          </w14:textFill>
        </w:rPr>
        <w:t>（二）法定代表人身份证明书、法人授权委托书</w:t>
      </w:r>
      <w:bookmarkEnd w:id="514"/>
      <w:bookmarkEnd w:id="515"/>
      <w:bookmarkEnd w:id="516"/>
      <w:bookmarkEnd w:id="517"/>
      <w:bookmarkEnd w:id="518"/>
    </w:p>
    <w:p>
      <w:pPr>
        <w:spacing w:line="440" w:lineRule="exact"/>
        <w:jc w:val="center"/>
        <w:rPr>
          <w:rFonts w:hint="eastAsia" w:ascii="方正仿宋_GBK" w:hAnsi="方正仿宋_GBK" w:eastAsia="方正仿宋_GBK" w:cs="方正仿宋_GBK"/>
          <w:b/>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1.法定代表人身份证明书</w:t>
      </w:r>
    </w:p>
    <w:p>
      <w:pPr>
        <w:spacing w:line="440" w:lineRule="exact"/>
        <w:jc w:val="center"/>
        <w:rPr>
          <w:rFonts w:hint="eastAsia" w:ascii="方正仿宋_GBK" w:hAnsi="方正仿宋_GBK" w:eastAsia="方正仿宋_GBK" w:cs="方正仿宋_GBK"/>
          <w:b/>
          <w:color w:val="000000" w:themeColor="text1"/>
          <w:sz w:val="30"/>
          <w:szCs w:val="30"/>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单位性质：</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注册资本：</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地址：</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成立时间：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经营期限：</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姓名：</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性别：</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年龄：</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职务：</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系</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（投标人名称）的法定代表人。</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特此证明。</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tabs>
          <w:tab w:val="left" w:pos="2730"/>
        </w:tabs>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r>
        <w:rPr>
          <w:rFonts w:hint="eastAsia" w:ascii="方正仿宋_GBK" w:hAnsi="方正仿宋_GBK" w:eastAsia="方正仿宋_GBK" w:cs="方正仿宋_GBK"/>
          <w:color w:val="000000" w:themeColor="text1"/>
          <w:szCs w:val="21"/>
          <w:highlight w:val="none"/>
          <w14:textFill>
            <w14:solidFill>
              <w14:schemeClr w14:val="tx1"/>
            </w14:solidFill>
          </w14:textFill>
        </w:rPr>
        <w:tab/>
      </w: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法定代表人身份证扫描件正反面（附后）</w:t>
      </w: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rPr>
          <w:rFonts w:hint="eastAsia" w:ascii="方正仿宋_GBK" w:hAnsi="方正仿宋_GBK" w:eastAsia="方正仿宋_GBK" w:cs="方正仿宋_GBK"/>
          <w:b/>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br w:type="page"/>
      </w:r>
    </w:p>
    <w:p>
      <w:pPr>
        <w:spacing w:line="440" w:lineRule="exact"/>
        <w:jc w:val="center"/>
        <w:rPr>
          <w:rFonts w:hint="eastAsia" w:ascii="方正仿宋_GBK" w:hAnsi="方正仿宋_GBK" w:eastAsia="方正仿宋_GBK" w:cs="方正仿宋_GBK"/>
          <w:b/>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2.法人授权委托书</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本授权书声明：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（投标人全称） </w:t>
      </w:r>
      <w:r>
        <w:rPr>
          <w:rFonts w:hint="eastAsia" w:ascii="方正仿宋_GBK" w:hAnsi="方正仿宋_GBK" w:eastAsia="方正仿宋_GBK" w:cs="方正仿宋_GBK"/>
          <w:color w:val="000000" w:themeColor="text1"/>
          <w:szCs w:val="21"/>
          <w:highlight w:val="none"/>
          <w14:textFill>
            <w14:solidFill>
              <w14:schemeClr w14:val="tx1"/>
            </w14:solidFill>
          </w14:textFill>
        </w:rPr>
        <w:t>的法定代表人代表本公司授权</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（委托代理人姓名）</w:t>
      </w:r>
      <w:r>
        <w:rPr>
          <w:rFonts w:hint="eastAsia" w:ascii="方正仿宋_GBK" w:hAnsi="方正仿宋_GBK" w:eastAsia="方正仿宋_GBK" w:cs="方正仿宋_GBK"/>
          <w:color w:val="000000" w:themeColor="text1"/>
          <w:szCs w:val="21"/>
          <w:highlight w:val="none"/>
          <w14:textFill>
            <w14:solidFill>
              <w14:schemeClr w14:val="tx1"/>
            </w14:solidFill>
          </w14:textFill>
        </w:rPr>
        <w:t>为本公司合法代理人，就贵方组织的有关</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（采购项目名称）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项目（项目编号：</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）的招标，以本单位名义投标。代理人在本项目投标过程中所签署的一切文件和处理与之有关的一切事务，我方均予承认。</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代理人无转委托权。</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法定代表人（电子签章）：</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法定代表人身份证号码：</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委托代理人（姓名）：</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委托代理人职务：</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代理人身份证号码：</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p>
    <w:p>
      <w:pPr>
        <w:spacing w:line="440" w:lineRule="exact"/>
        <w:ind w:firstLine="420" w:firstLineChars="200"/>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pPr>
    </w:p>
    <w:p>
      <w:pPr>
        <w:spacing w:line="440" w:lineRule="exact"/>
        <w:ind w:firstLine="1050" w:firstLineChars="5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年   月   日</w:t>
      </w:r>
    </w:p>
    <w:p>
      <w:pPr>
        <w:pStyle w:val="3"/>
        <w:rPr>
          <w:rFonts w:hint="eastAsia" w:ascii="方正仿宋_GBK" w:hAnsi="方正仿宋_GBK" w:eastAsia="方正仿宋_GBK" w:cs="方正仿宋_GBK"/>
          <w:color w:val="000000" w:themeColor="text1"/>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bookmarkStart w:id="523" w:name="_Toc17452160"/>
      <w:r>
        <w:rPr>
          <w:rFonts w:hint="eastAsia" w:ascii="方正仿宋_GBK" w:hAnsi="方正仿宋_GBK" w:eastAsia="方正仿宋_GBK" w:cs="方正仿宋_GBK"/>
          <w:color w:val="000000" w:themeColor="text1"/>
          <w:szCs w:val="21"/>
          <w:highlight w:val="none"/>
          <w14:textFill>
            <w14:solidFill>
              <w14:schemeClr w14:val="tx1"/>
            </w14:solidFill>
          </w14:textFill>
        </w:rPr>
        <w:t>注：</w:t>
      </w:r>
      <w:bookmarkEnd w:id="523"/>
      <w:r>
        <w:rPr>
          <w:rFonts w:hint="eastAsia" w:ascii="方正仿宋_GBK" w:hAnsi="方正仿宋_GBK" w:eastAsia="方正仿宋_GBK" w:cs="方正仿宋_GBK"/>
          <w:color w:val="000000" w:themeColor="text1"/>
          <w:szCs w:val="21"/>
          <w:highlight w:val="none"/>
          <w14:textFill>
            <w14:solidFill>
              <w14:schemeClr w14:val="tx1"/>
            </w14:solidFill>
          </w14:textFill>
        </w:rPr>
        <w:t>如由法定代表人亲自签署投标文件并参与相关活动，则不需要办理授权。</w:t>
      </w:r>
    </w:p>
    <w:p>
      <w:pPr>
        <w:tabs>
          <w:tab w:val="left" w:pos="2730"/>
        </w:tabs>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授权委托代理人身份证扫描件正反面（附后）</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524" w:name="_Toc12975"/>
      <w:bookmarkStart w:id="525" w:name="_Toc16418"/>
      <w:bookmarkStart w:id="526" w:name="_Toc6676"/>
      <w:bookmarkStart w:id="527" w:name="_Toc29252"/>
      <w:bookmarkStart w:id="528" w:name="_Toc7871"/>
      <w:r>
        <w:rPr>
          <w:rFonts w:hint="eastAsia" w:ascii="方正仿宋_GBK" w:hAnsi="方正仿宋_GBK" w:eastAsia="方正仿宋_GBK" w:cs="方正仿宋_GBK"/>
          <w:color w:val="000000" w:themeColor="text1"/>
          <w:highlight w:val="none"/>
          <w14:textFill>
            <w14:solidFill>
              <w14:schemeClr w14:val="tx1"/>
            </w14:solidFill>
          </w14:textFill>
        </w:rPr>
        <w:t>（三）投标人基本情况表</w:t>
      </w:r>
      <w:bookmarkEnd w:id="524"/>
      <w:bookmarkEnd w:id="525"/>
      <w:bookmarkEnd w:id="526"/>
      <w:bookmarkEnd w:id="527"/>
      <w:bookmarkEnd w:id="528"/>
    </w:p>
    <w:tbl>
      <w:tblPr>
        <w:tblStyle w:val="41"/>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1975"/>
        <w:gridCol w:w="2701"/>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营业执照注册号</w:t>
            </w:r>
          </w:p>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（或统一社会信用代码）</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注册资金</w:t>
            </w:r>
          </w:p>
        </w:tc>
        <w:tc>
          <w:tcPr>
            <w:tcW w:w="1975"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2701"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邮政编码</w:t>
            </w:r>
          </w:p>
        </w:tc>
        <w:tc>
          <w:tcPr>
            <w:tcW w:w="1410"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所属行业</w:t>
            </w:r>
          </w:p>
        </w:tc>
        <w:tc>
          <w:tcPr>
            <w:tcW w:w="1975"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2701"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从业人员</w:t>
            </w:r>
          </w:p>
        </w:tc>
        <w:tc>
          <w:tcPr>
            <w:tcW w:w="1410"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营业收入</w:t>
            </w:r>
          </w:p>
        </w:tc>
        <w:tc>
          <w:tcPr>
            <w:tcW w:w="1975"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2701"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资产总额</w:t>
            </w:r>
          </w:p>
        </w:tc>
        <w:tc>
          <w:tcPr>
            <w:tcW w:w="1410"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公司成立日期</w:t>
            </w:r>
          </w:p>
        </w:tc>
        <w:tc>
          <w:tcPr>
            <w:tcW w:w="1975"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2701"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企业网站网址（如有）</w:t>
            </w:r>
          </w:p>
        </w:tc>
        <w:tc>
          <w:tcPr>
            <w:tcW w:w="1410"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企业电话</w:t>
            </w:r>
          </w:p>
        </w:tc>
        <w:tc>
          <w:tcPr>
            <w:tcW w:w="1975"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2701"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通讯地址</w:t>
            </w:r>
          </w:p>
        </w:tc>
        <w:tc>
          <w:tcPr>
            <w:tcW w:w="1410" w:type="dxa"/>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基本账户开户银行</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基本账户银行账号</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3119" w:type="dxa"/>
            <w:vAlign w:val="center"/>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投标人关联企业情况（包括但不限于与投标人法定代表人（单位负责人）为同一人或者存在控股、管理关系的不同单位）</w:t>
            </w:r>
          </w:p>
        </w:tc>
        <w:tc>
          <w:tcPr>
            <w:tcW w:w="6086" w:type="dxa"/>
            <w:gridSpan w:val="3"/>
          </w:tcPr>
          <w:p>
            <w:pPr>
              <w:pStyle w:val="23"/>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bl>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法定代表人或委托代理人：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（电子签章）</w:t>
      </w:r>
    </w:p>
    <w:p>
      <w:pPr>
        <w:pStyle w:val="23"/>
        <w:spacing w:line="440" w:lineRule="exact"/>
        <w:ind w:firstLine="42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7"/>
        <w:numPr>
          <w:ilvl w:val="0"/>
          <w:numId w:val="2"/>
        </w:numPr>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529" w:name="_Toc17252"/>
      <w:bookmarkStart w:id="530" w:name="_Toc2183"/>
      <w:bookmarkStart w:id="531" w:name="_Toc11478"/>
      <w:bookmarkStart w:id="532" w:name="_Toc15503"/>
      <w:bookmarkStart w:id="533" w:name="_Toc13920"/>
      <w:r>
        <w:rPr>
          <w:rFonts w:hint="eastAsia" w:ascii="方正仿宋_GBK" w:hAnsi="方正仿宋_GBK" w:eastAsia="方正仿宋_GBK" w:cs="方正仿宋_GBK"/>
          <w:color w:val="000000" w:themeColor="text1"/>
          <w:highlight w:val="none"/>
          <w14:textFill>
            <w14:solidFill>
              <w14:schemeClr w14:val="tx1"/>
            </w14:solidFill>
          </w14:textFill>
        </w:rPr>
        <w:t>中小企业声明函、监狱企业证明文件（若有）、《残疾人福利性单位声明函》（若有）</w:t>
      </w:r>
      <w:bookmarkEnd w:id="529"/>
      <w:bookmarkEnd w:id="530"/>
      <w:bookmarkEnd w:id="531"/>
      <w:bookmarkEnd w:id="532"/>
      <w:bookmarkEnd w:id="533"/>
    </w:p>
    <w:p>
      <w:pPr>
        <w:spacing w:line="440" w:lineRule="exact"/>
        <w:ind w:firstLine="482" w:firstLineChars="200"/>
        <w:jc w:val="cente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中小企业声明函（服务）</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（单位名称）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的</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（项目名称）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1. </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（标的名称） </w:t>
      </w:r>
      <w:r>
        <w:rPr>
          <w:rFonts w:hint="eastAsia" w:ascii="方正仿宋_GBK" w:hAnsi="方正仿宋_GBK" w:eastAsia="方正仿宋_GBK" w:cs="方正仿宋_GBK"/>
          <w:color w:val="000000" w:themeColor="text1"/>
          <w:szCs w:val="21"/>
          <w:highlight w:val="none"/>
          <w14:textFill>
            <w14:solidFill>
              <w14:schemeClr w14:val="tx1"/>
            </w14:solidFill>
          </w14:textFill>
        </w:rPr>
        <w:t>，属于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（采购文件中明确的所属行业）</w:t>
      </w:r>
      <w:r>
        <w:rPr>
          <w:rFonts w:hint="eastAsia" w:ascii="方正仿宋_GBK" w:hAnsi="方正仿宋_GBK" w:eastAsia="方正仿宋_GBK" w:cs="方正仿宋_GBK"/>
          <w:color w:val="000000" w:themeColor="text1"/>
          <w:szCs w:val="21"/>
          <w:highlight w:val="none"/>
          <w14:textFill>
            <w14:solidFill>
              <w14:schemeClr w14:val="tx1"/>
            </w14:solidFill>
          </w14:textFill>
        </w:rPr>
        <w:t>；承接企业为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（企业名称）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，从业人员</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万元</w:t>
      </w:r>
      <w:r>
        <w:rPr>
          <w:rFonts w:hint="eastAsia" w:ascii="方正仿宋_GBK" w:hAnsi="方正仿宋_GBK" w:eastAsia="方正仿宋_GBK" w:cs="方正仿宋_GBK"/>
          <w:color w:val="000000" w:themeColor="text1"/>
          <w:szCs w:val="21"/>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Cs w:val="21"/>
          <w:highlight w:val="none"/>
          <w14:textFill>
            <w14:solidFill>
              <w14:schemeClr w14:val="tx1"/>
            </w14:solidFill>
          </w14:textFill>
        </w:rPr>
        <w:t>，属于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（中型企业、小型企业、微型企业）</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2. </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（标的名称）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 ，属于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（采购文件中明确的所属行业）</w:t>
      </w:r>
      <w:r>
        <w:rPr>
          <w:rFonts w:hint="eastAsia" w:ascii="方正仿宋_GBK" w:hAnsi="方正仿宋_GBK" w:eastAsia="方正仿宋_GBK" w:cs="方正仿宋_GBK"/>
          <w:color w:val="000000" w:themeColor="text1"/>
          <w:szCs w:val="21"/>
          <w:highlight w:val="none"/>
          <w14:textFill>
            <w14:solidFill>
              <w14:schemeClr w14:val="tx1"/>
            </w14:solidFill>
          </w14:textFill>
        </w:rPr>
        <w:t>；承接企业为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（企业名称）</w:t>
      </w:r>
      <w:r>
        <w:rPr>
          <w:rFonts w:hint="eastAsia" w:ascii="方正仿宋_GBK" w:hAnsi="方正仿宋_GBK" w:eastAsia="方正仿宋_GBK" w:cs="方正仿宋_GBK"/>
          <w:color w:val="000000" w:themeColor="text1"/>
          <w:szCs w:val="21"/>
          <w:highlight w:val="none"/>
          <w14:textFill>
            <w14:solidFill>
              <w14:schemeClr w14:val="tx1"/>
            </w14:solidFill>
          </w14:textFill>
        </w:rPr>
        <w:t>，从业人员</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万元</w:t>
      </w:r>
      <w:r>
        <w:rPr>
          <w:rFonts w:hint="eastAsia" w:ascii="方正仿宋_GBK" w:hAnsi="方正仿宋_GBK" w:eastAsia="方正仿宋_GBK" w:cs="方正仿宋_GBK"/>
          <w:color w:val="000000" w:themeColor="text1"/>
          <w:szCs w:val="21"/>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Cs w:val="21"/>
          <w:highlight w:val="none"/>
          <w14:textFill>
            <w14:solidFill>
              <w14:schemeClr w14:val="tx1"/>
            </w14:solidFill>
          </w14:textFill>
        </w:rPr>
        <w:t>，属于</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（中型企业、小型企业、微型企业）</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以上企业，不属于大企业的分支机构，不存在控股股东为大企业的情形，也不存在与大企业的负责人为同一人的情形。</w:t>
      </w:r>
    </w:p>
    <w:p>
      <w:pPr>
        <w:spacing w:line="440" w:lineRule="exact"/>
        <w:ind w:firstLine="420" w:firstLineChars="200"/>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根据《关于印发中小企业划型标准规定的通知（工信部联企业〔2011〕300号）》的规定，本项目所属行业为：</w:t>
      </w:r>
      <w:r>
        <w:rPr>
          <w:rFonts w:hint="eastAsia" w:ascii="方正仿宋_GBK" w:hAnsi="方正仿宋_GBK" w:eastAsia="方正仿宋_GBK" w:cs="方正仿宋_GBK"/>
          <w:b/>
          <w:bCs/>
          <w:color w:val="000000" w:themeColor="text1"/>
          <w:szCs w:val="21"/>
          <w:highlight w:val="none"/>
          <w:u w:val="single"/>
          <w14:textFill>
            <w14:solidFill>
              <w14:schemeClr w14:val="tx1"/>
            </w14:solidFill>
          </w14:textFill>
        </w:rPr>
        <w:t>软件和信息技术服务业</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本企业对上述声明内容的真实性负责。如有虚假，将依法承担相应责任。</w:t>
      </w:r>
    </w:p>
    <w:p>
      <w:pPr>
        <w:spacing w:line="440" w:lineRule="exact"/>
        <w:ind w:firstLine="3360" w:firstLineChars="160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3360" w:firstLineChars="16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企业名称（加盖投标人电子公章）：</w:t>
      </w:r>
    </w:p>
    <w:p>
      <w:pPr>
        <w:spacing w:line="440" w:lineRule="exact"/>
        <w:ind w:firstLine="3360" w:firstLineChars="1600"/>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ind w:firstLine="3360" w:firstLineChars="16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从业人员、营业收入、资产总额填报上一年度数据，无上一年度数据的新成立企业可不填报。</w:t>
      </w:r>
    </w:p>
    <w:p>
      <w:pPr>
        <w:rPr>
          <w:rFonts w:hint="eastAsia" w:ascii="方正仿宋_GBK" w:hAnsi="方正仿宋_GBK" w:eastAsia="方正仿宋_GBK" w:cs="方正仿宋_GBK"/>
          <w:b/>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b/>
          <w:color w:val="000000" w:themeColor="text1"/>
          <w:sz w:val="30"/>
          <w:szCs w:val="30"/>
          <w:highlight w:val="none"/>
          <w14:textFill>
            <w14:solidFill>
              <w14:schemeClr w14:val="tx1"/>
            </w14:solidFill>
          </w14:textFill>
        </w:rPr>
        <w:br w:type="page"/>
      </w:r>
    </w:p>
    <w:p>
      <w:pPr>
        <w:pStyle w:val="38"/>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监狱企业证明文件（若有）</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注：符合《财政部 司法部关于政府采购支持监狱企业发展有关问题的通知》（财库〔2014〕68号）价格扣减条件的投标人须提交，符合条件的监狱企业在参加政府采购活动时，应当按《财政部 司法部关于政府采购支持监狱企业发展有关问题的通知》（财库〔2014〕68号）提供规定的《监狱企业证明文件》，并对证明文件的真实性负责。</w:t>
      </w: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b/>
          <w:color w:val="000000" w:themeColor="text1"/>
          <w:szCs w:val="21"/>
          <w:highlight w:val="none"/>
          <w14:textFill>
            <w14:solidFill>
              <w14:schemeClr w14:val="tx1"/>
            </w14:solidFill>
          </w14:textFill>
        </w:rPr>
      </w:pPr>
    </w:p>
    <w:p>
      <w:pPr>
        <w:pStyle w:val="38"/>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残疾人福利性单位声明函（若有）</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三部门联合发布关于促进残疾人就业政府采购政策的通知》（财库〔2017〕141号）价格扣减条件的投标人提交，符合条件的残疾人福利性单位在参加政府采购活动时，应当按《三部门联合发布关于促进残疾人就业政府采购政策的通知》（财库〔2017〕141号）提供规定的《残疾人福利性单位声明函》，并对声明的真实性负责。不符合条件的投标人禁止虚假声明，如有虚假，将依法承担相应责任。</w:t>
      </w:r>
    </w:p>
    <w:p>
      <w:pPr>
        <w:pStyle w:val="7"/>
        <w:numPr>
          <w:ilvl w:val="0"/>
          <w:numId w:val="2"/>
        </w:numPr>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bookmarkStart w:id="534" w:name="_Toc21092"/>
      <w:bookmarkStart w:id="535" w:name="_Toc6586"/>
      <w:bookmarkStart w:id="536" w:name="_Toc4763"/>
      <w:bookmarkStart w:id="537" w:name="_Toc32300"/>
      <w:bookmarkStart w:id="538" w:name="_Toc14509"/>
      <w:r>
        <w:rPr>
          <w:rFonts w:hint="eastAsia" w:ascii="方正仿宋_GBK" w:hAnsi="方正仿宋_GBK" w:eastAsia="方正仿宋_GBK" w:cs="方正仿宋_GBK"/>
          <w:color w:val="000000" w:themeColor="text1"/>
          <w:highlight w:val="none"/>
          <w:lang w:val="en-US"/>
          <w14:textFill>
            <w14:solidFill>
              <w14:schemeClr w14:val="tx1"/>
            </w14:solidFill>
          </w14:textFill>
        </w:rPr>
        <w:t>商务及</w:t>
      </w:r>
      <w:r>
        <w:rPr>
          <w:rFonts w:hint="eastAsia" w:ascii="方正仿宋_GBK" w:hAnsi="方正仿宋_GBK" w:eastAsia="方正仿宋_GBK" w:cs="方正仿宋_GBK"/>
          <w:color w:val="000000" w:themeColor="text1"/>
          <w:highlight w:val="none"/>
          <w14:textFill>
            <w14:solidFill>
              <w14:schemeClr w14:val="tx1"/>
            </w14:solidFill>
          </w14:textFill>
        </w:rPr>
        <w:t>技术文件</w:t>
      </w:r>
      <w:bookmarkEnd w:id="534"/>
      <w:bookmarkEnd w:id="535"/>
      <w:bookmarkEnd w:id="536"/>
      <w:bookmarkEnd w:id="537"/>
      <w:bookmarkEnd w:id="538"/>
    </w:p>
    <w:p>
      <w:pPr>
        <w:jc w:val="center"/>
        <w:rPr>
          <w:rFonts w:hint="eastAsia"/>
          <w:color w:val="000000" w:themeColor="text1"/>
          <w:highlight w:val="none"/>
          <w14:textFill>
            <w14:solidFill>
              <w14:schemeClr w14:val="tx1"/>
            </w14:solidFill>
          </w14:textFill>
        </w:rPr>
      </w:pPr>
    </w:p>
    <w:p>
      <w:pPr>
        <w:spacing w:line="440" w:lineRule="exact"/>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一、</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项目理解、需求分析、重点、难点分析、需求响应</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spacing w:line="440" w:lineRule="exact"/>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二、</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服务方案</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spacing w:line="440" w:lineRule="exact"/>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2"/>
          <w:highlight w:val="none"/>
          <w14:textFill>
            <w14:solidFill>
              <w14:schemeClr w14:val="tx1"/>
            </w14:solidFill>
          </w14:textFill>
        </w:rPr>
        <w:t>三、</w:t>
      </w:r>
      <w:r>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t>进度计划及保证措施</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spacing w:line="440" w:lineRule="exact"/>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2"/>
          <w:highlight w:val="none"/>
          <w14:textFill>
            <w14:solidFill>
              <w14:schemeClr w14:val="tx1"/>
            </w14:solidFill>
          </w14:textFill>
        </w:rPr>
        <w:t>四、</w:t>
      </w:r>
      <w:r>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t>应急方案及保障措施</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spacing w:line="440" w:lineRule="exact"/>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2"/>
          <w:highlight w:val="none"/>
          <w14:textFill>
            <w14:solidFill>
              <w14:schemeClr w14:val="tx1"/>
            </w14:solidFill>
          </w14:textFill>
        </w:rPr>
        <w:t>五、</w:t>
      </w:r>
      <w:r>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t>服务质量承诺</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spacing w:line="440" w:lineRule="exact"/>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24"/>
          <w:szCs w:val="22"/>
          <w:highlight w:val="none"/>
          <w14:textFill>
            <w14:solidFill>
              <w14:schemeClr w14:val="tx1"/>
            </w14:solidFill>
          </w14:textFill>
        </w:rPr>
        <w:t>六、</w:t>
      </w:r>
      <w:r>
        <w:rPr>
          <w:rFonts w:hint="eastAsia" w:ascii="方正仿宋_GBK" w:hAnsi="方正仿宋_GBK" w:eastAsia="方正仿宋_GBK" w:cs="方正仿宋_GBK"/>
          <w:b/>
          <w:bCs/>
          <w:color w:val="000000" w:themeColor="text1"/>
          <w:sz w:val="24"/>
          <w:szCs w:val="22"/>
          <w:highlight w:val="none"/>
          <w:lang w:eastAsia="zh-CN"/>
          <w14:textFill>
            <w14:solidFill>
              <w14:schemeClr w14:val="tx1"/>
            </w14:solidFill>
          </w14:textFill>
        </w:rPr>
        <w:t>保密承诺及措施</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投标人根据采购需求及评分办法自行编制</w:t>
      </w:r>
    </w:p>
    <w:p>
      <w:pPr>
        <w:pStyle w:val="3"/>
        <w:rPr>
          <w:rFonts w:hint="eastAsia" w:ascii="方正仿宋_GBK" w:hAnsi="方正仿宋_GBK" w:eastAsia="方正仿宋_GBK" w:cs="方正仿宋_GBK"/>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ind w:firstLine="480"/>
        <w:contextualSpacing/>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投标人认为上述招标文件的格式不足以说明的问题，可以自行补充说明，格式自拟。</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15"/>
        <w:spacing w:line="440" w:lineRule="exact"/>
        <w:ind w:firstLine="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pStyle w:val="7"/>
        <w:numPr>
          <w:ilvl w:val="0"/>
          <w:numId w:val="0"/>
        </w:numPr>
        <w:spacing w:line="440" w:lineRule="exact"/>
        <w:ind w:leftChars="0"/>
        <w:jc w:val="cente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bookmarkStart w:id="539" w:name="_Toc19147"/>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六</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）项目团队人员配备</w:t>
      </w:r>
      <w:bookmarkEnd w:id="539"/>
    </w:p>
    <w:p>
      <w:pPr>
        <w:numPr>
          <w:ilvl w:val="0"/>
          <w:numId w:val="0"/>
        </w:numPr>
        <w:ind w:leftChars="0"/>
        <w:rPr>
          <w:rFonts w:hint="eastAsia"/>
          <w:color w:val="000000" w:themeColor="text1"/>
          <w:highlight w:val="none"/>
          <w:lang w:eastAsia="zh-CN"/>
          <w14:textFill>
            <w14:solidFill>
              <w14:schemeClr w14:val="tx1"/>
            </w14:solidFill>
          </w14:textFill>
        </w:rPr>
      </w:pPr>
    </w:p>
    <w:p>
      <w:pPr>
        <w:pStyle w:val="7"/>
        <w:numPr>
          <w:ilvl w:val="0"/>
          <w:numId w:val="0"/>
        </w:numPr>
        <w:spacing w:line="440" w:lineRule="exact"/>
        <w:ind w:leftChars="0"/>
        <w:jc w:val="cente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pPr>
      <w:bookmarkStart w:id="540" w:name="_Toc29457"/>
      <w:bookmarkStart w:id="541" w:name="_Toc13983"/>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拟派项目经理简历表</w:t>
      </w:r>
      <w:bookmarkEnd w:id="540"/>
      <w:bookmarkEnd w:id="541"/>
    </w:p>
    <w:tbl>
      <w:tblPr>
        <w:tblStyle w:val="41"/>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38"/>
        <w:gridCol w:w="1402"/>
        <w:gridCol w:w="1636"/>
        <w:gridCol w:w="1311"/>
        <w:gridCol w:w="1525"/>
        <w:gridCol w:w="16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姓   名</w:t>
            </w: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性 别</w:t>
            </w: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年 龄</w:t>
            </w: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学   历</w:t>
            </w: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毕业院校</w:t>
            </w:r>
          </w:p>
        </w:tc>
        <w:tc>
          <w:tcPr>
            <w:tcW w:w="4512" w:type="dxa"/>
            <w:gridSpan w:val="3"/>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参加工作时间</w:t>
            </w:r>
          </w:p>
        </w:tc>
        <w:tc>
          <w:tcPr>
            <w:tcW w:w="3038" w:type="dxa"/>
            <w:gridSpan w:val="2"/>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2836" w:type="dxa"/>
            <w:gridSpan w:val="2"/>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担任项目负责人年限</w:t>
            </w: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lang w:eastAsia="zh-CN"/>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持有证书情况</w:t>
            </w:r>
            <w:r>
              <w:rPr>
                <w:rFonts w:hint="eastAsia" w:ascii="方正仿宋_GBK" w:hAnsi="方正仿宋_GBK" w:eastAsia="方正仿宋_GBK" w:cs="方正仿宋_GBK"/>
                <w:snapToGrid w:val="0"/>
                <w:color w:val="000000" w:themeColor="text1"/>
                <w:sz w:val="21"/>
                <w:szCs w:val="21"/>
                <w:highlight w:val="none"/>
                <w:lang w:eastAsia="zh-CN"/>
                <w14:textFill>
                  <w14:solidFill>
                    <w14:schemeClr w14:val="tx1"/>
                  </w14:solidFill>
                </w14:textFill>
              </w:rPr>
              <w:t>（</w:t>
            </w:r>
            <w:r>
              <w:rPr>
                <w:rFonts w:hint="eastAsia" w:ascii="方正仿宋_GBK" w:hAnsi="方正仿宋_GBK" w:eastAsia="方正仿宋_GBK" w:cs="方正仿宋_GBK"/>
                <w:snapToGrid w:val="0"/>
                <w:color w:val="000000" w:themeColor="text1"/>
                <w:sz w:val="21"/>
                <w:szCs w:val="21"/>
                <w:highlight w:val="none"/>
                <w:lang w:val="en-US" w:eastAsia="zh-CN"/>
                <w14:textFill>
                  <w14:solidFill>
                    <w14:schemeClr w14:val="tx1"/>
                  </w14:solidFill>
                </w14:textFill>
              </w:rPr>
              <w:t>如有</w:t>
            </w:r>
            <w:r>
              <w:rPr>
                <w:rFonts w:hint="eastAsia" w:ascii="方正仿宋_GBK" w:hAnsi="方正仿宋_GBK" w:eastAsia="方正仿宋_GBK" w:cs="方正仿宋_GBK"/>
                <w:snapToGrid w:val="0"/>
                <w:color w:val="000000" w:themeColor="text1"/>
                <w:sz w:val="21"/>
                <w:szCs w:val="21"/>
                <w:highlight w:val="none"/>
                <w:lang w:eastAsia="zh-CN"/>
                <w14:textFill>
                  <w14:solidFill>
                    <w14:schemeClr w14:val="tx1"/>
                  </w14:solidFill>
                </w14:textFill>
              </w:rPr>
              <w:t>）</w:t>
            </w:r>
          </w:p>
        </w:tc>
        <w:tc>
          <w:tcPr>
            <w:tcW w:w="7550" w:type="dxa"/>
            <w:gridSpan w:val="5"/>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承担过的类似项目情况</w:t>
            </w:r>
            <w:r>
              <w:rPr>
                <w:rFonts w:hint="eastAsia" w:ascii="方正仿宋_GBK" w:hAnsi="方正仿宋_GBK" w:eastAsia="方正仿宋_GBK" w:cs="方正仿宋_GBK"/>
                <w:snapToGrid w:val="0"/>
                <w:color w:val="000000" w:themeColor="text1"/>
                <w:sz w:val="21"/>
                <w:szCs w:val="21"/>
                <w:highlight w:val="none"/>
                <w:lang w:eastAsia="zh-CN"/>
                <w14:textFill>
                  <w14:solidFill>
                    <w14:schemeClr w14:val="tx1"/>
                  </w14:solidFill>
                </w14:textFill>
              </w:rPr>
              <w:t>（</w:t>
            </w:r>
            <w:r>
              <w:rPr>
                <w:rFonts w:hint="eastAsia" w:ascii="方正仿宋_GBK" w:hAnsi="方正仿宋_GBK" w:eastAsia="方正仿宋_GBK" w:cs="方正仿宋_GBK"/>
                <w:snapToGrid w:val="0"/>
                <w:color w:val="000000" w:themeColor="text1"/>
                <w:sz w:val="21"/>
                <w:szCs w:val="21"/>
                <w:highlight w:val="none"/>
                <w:lang w:val="en-US" w:eastAsia="zh-CN"/>
                <w14:textFill>
                  <w14:solidFill>
                    <w14:schemeClr w14:val="tx1"/>
                  </w14:solidFill>
                </w14:textFill>
              </w:rPr>
              <w:t>如有</w:t>
            </w:r>
            <w:r>
              <w:rPr>
                <w:rFonts w:hint="eastAsia" w:ascii="方正仿宋_GBK" w:hAnsi="方正仿宋_GBK" w:eastAsia="方正仿宋_GBK" w:cs="方正仿宋_GBK"/>
                <w:snapToGrid w:val="0"/>
                <w:color w:val="000000" w:themeColor="text1"/>
                <w:sz w:val="21"/>
                <w:szCs w:val="21"/>
                <w:highlight w:val="none"/>
                <w:lang w:eastAsia="zh-CN"/>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业主单位</w:t>
            </w:r>
          </w:p>
        </w:tc>
        <w:tc>
          <w:tcPr>
            <w:tcW w:w="1402"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项目名称</w:t>
            </w:r>
          </w:p>
        </w:tc>
        <w:tc>
          <w:tcPr>
            <w:tcW w:w="1636"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金额</w:t>
            </w:r>
          </w:p>
        </w:tc>
        <w:tc>
          <w:tcPr>
            <w:tcW w:w="1311"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时间</w:t>
            </w:r>
          </w:p>
        </w:tc>
        <w:tc>
          <w:tcPr>
            <w:tcW w:w="1525"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项目概况</w:t>
            </w:r>
          </w:p>
        </w:tc>
        <w:tc>
          <w:tcPr>
            <w:tcW w:w="1676" w:type="dxa"/>
            <w:vAlign w:val="center"/>
          </w:tcPr>
          <w:p>
            <w:pPr>
              <w:adjustRightInd w:val="0"/>
              <w:snapToGrid w:val="0"/>
              <w:spacing w:line="360" w:lineRule="auto"/>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38"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402"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3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311"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525"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c>
          <w:tcPr>
            <w:tcW w:w="1676" w:type="dxa"/>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vAlign w:val="center"/>
          </w:tcPr>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t>个 人 简 历</w:t>
            </w:r>
          </w:p>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p>
            <w:pPr>
              <w:adjustRightInd w:val="0"/>
              <w:snapToGrid w:val="0"/>
              <w:spacing w:line="360" w:lineRule="auto"/>
              <w:ind w:firstLine="480"/>
              <w:jc w:val="center"/>
              <w:rPr>
                <w:rFonts w:hint="eastAsia" w:ascii="方正仿宋_GBK" w:hAnsi="方正仿宋_GBK" w:eastAsia="方正仿宋_GBK" w:cs="方正仿宋_GBK"/>
                <w:snapToGrid w:val="0"/>
                <w:color w:val="000000" w:themeColor="text1"/>
                <w:sz w:val="21"/>
                <w:szCs w:val="21"/>
                <w:highlight w:val="none"/>
                <w14:textFill>
                  <w14:solidFill>
                    <w14:schemeClr w14:val="tx1"/>
                  </w14:solidFill>
                </w14:textFill>
              </w:rPr>
            </w:pPr>
          </w:p>
        </w:tc>
      </w:tr>
    </w:tbl>
    <w:p>
      <w:pPr>
        <w:spacing w:line="440" w:lineRule="exact"/>
        <w:ind w:firstLine="400"/>
        <w:rPr>
          <w:rFonts w:ascii="方正仿宋_GB18030" w:hAnsi="方正仿宋_GB18030" w:eastAsia="方正仿宋_GB18030" w:cs="方正仿宋_GB18030"/>
          <w:b/>
          <w:bCs/>
          <w:color w:val="000000" w:themeColor="text1"/>
          <w:sz w:val="20"/>
          <w:highlight w:val="none"/>
          <w14:textFill>
            <w14:solidFill>
              <w14:schemeClr w14:val="tx1"/>
            </w14:solidFill>
          </w14:textFill>
        </w:rPr>
      </w:pPr>
    </w:p>
    <w:p>
      <w:pPr>
        <w:spacing w:line="440" w:lineRule="exact"/>
        <w:ind w:firstLine="400"/>
        <w:rPr>
          <w:rFonts w:ascii="方正仿宋_GB18030" w:hAnsi="方正仿宋_GB18030" w:eastAsia="方正仿宋_GB18030" w:cs="方正仿宋_GB18030"/>
          <w:b/>
          <w:bCs/>
          <w:color w:val="000000" w:themeColor="text1"/>
          <w:sz w:val="20"/>
          <w:highlight w:val="none"/>
          <w14:textFill>
            <w14:solidFill>
              <w14:schemeClr w14:val="tx1"/>
            </w14:solidFill>
          </w14:textFill>
        </w:rPr>
      </w:pPr>
      <w:r>
        <w:rPr>
          <w:rFonts w:hint="eastAsia" w:ascii="方正仿宋_GB18030" w:hAnsi="方正仿宋_GB18030" w:eastAsia="方正仿宋_GB18030" w:cs="方正仿宋_GB18030"/>
          <w:b/>
          <w:bCs/>
          <w:color w:val="000000" w:themeColor="text1"/>
          <w:sz w:val="20"/>
          <w:highlight w:val="none"/>
          <w14:textFill>
            <w14:solidFill>
              <w14:schemeClr w14:val="tx1"/>
            </w14:solidFill>
          </w14:textFill>
        </w:rPr>
        <w:t>附：项目经理证明材料（包括身份证、</w:t>
      </w:r>
      <w:r>
        <w:rPr>
          <w:rFonts w:hint="eastAsia" w:ascii="方正仿宋_GB18030" w:hAnsi="方正仿宋_GB18030" w:eastAsia="方正仿宋_GB18030" w:cs="方正仿宋_GB18030"/>
          <w:b/>
          <w:bCs/>
          <w:color w:val="000000" w:themeColor="text1"/>
          <w:sz w:val="20"/>
          <w:highlight w:val="none"/>
          <w:lang w:val="en-US" w:eastAsia="zh-CN"/>
          <w14:textFill>
            <w14:solidFill>
              <w14:schemeClr w14:val="tx1"/>
            </w14:solidFill>
          </w14:textFill>
        </w:rPr>
        <w:t>投标单位为其购买的社保或养老保险、</w:t>
      </w:r>
      <w:r>
        <w:rPr>
          <w:rFonts w:hint="eastAsia" w:ascii="方正仿宋_GB18030" w:hAnsi="方正仿宋_GB18030" w:eastAsia="方正仿宋_GB18030" w:cs="方正仿宋_GB18030"/>
          <w:b/>
          <w:bCs/>
          <w:color w:val="000000" w:themeColor="text1"/>
          <w:sz w:val="20"/>
          <w:highlight w:val="none"/>
          <w14:textFill>
            <w14:solidFill>
              <w14:schemeClr w14:val="tx1"/>
            </w14:solidFill>
          </w14:textFill>
        </w:rPr>
        <w:t>证书（若有））。</w:t>
      </w:r>
    </w:p>
    <w:p>
      <w:pPr>
        <w:spacing w:line="440" w:lineRule="exact"/>
        <w:ind w:firstLine="400"/>
        <w:rPr>
          <w:rFonts w:ascii="方正仿宋_GB18030" w:hAnsi="方正仿宋_GB18030" w:eastAsia="方正仿宋_GB18030" w:cs="方正仿宋_GB18030"/>
          <w:b/>
          <w:bCs/>
          <w:color w:val="000000" w:themeColor="text1"/>
          <w:sz w:val="20"/>
          <w:highlight w:val="none"/>
          <w14:textFill>
            <w14:solidFill>
              <w14:schemeClr w14:val="tx1"/>
            </w14:solidFill>
          </w14:textFill>
        </w:rPr>
      </w:pPr>
    </w:p>
    <w:p>
      <w:pPr>
        <w:keepNext w:val="0"/>
        <w:keepLines w:val="0"/>
        <w:pageBreakBefore/>
        <w:widowControl w:val="0"/>
        <w:kinsoku/>
        <w:wordWrap/>
        <w:overflowPunct/>
        <w:topLinePunct w:val="0"/>
        <w:autoSpaceDE/>
        <w:autoSpaceDN/>
        <w:bidi w:val="0"/>
        <w:adjustRightInd/>
        <w:snapToGrid/>
        <w:spacing w:line="440" w:lineRule="exact"/>
        <w:ind w:firstLine="403"/>
        <w:textAlignment w:val="auto"/>
        <w:rPr>
          <w:rFonts w:ascii="方正仿宋_GB18030" w:hAnsi="方正仿宋_GB18030" w:eastAsia="方正仿宋_GB18030" w:cs="方正仿宋_GB18030"/>
          <w:b/>
          <w:bCs/>
          <w:color w:val="000000" w:themeColor="text1"/>
          <w:sz w:val="20"/>
          <w:highlight w:val="none"/>
          <w14:textFill>
            <w14:solidFill>
              <w14:schemeClr w14:val="tx1"/>
            </w14:solidFill>
          </w14:textFill>
        </w:rPr>
      </w:pPr>
    </w:p>
    <w:p>
      <w:pPr>
        <w:pStyle w:val="7"/>
        <w:numPr>
          <w:ilvl w:val="0"/>
          <w:numId w:val="0"/>
        </w:numPr>
        <w:spacing w:line="440" w:lineRule="exact"/>
        <w:ind w:leftChars="0"/>
        <w:jc w:val="cente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pPr>
      <w:bookmarkStart w:id="542" w:name="_Toc195"/>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2.拟投入项目人员配置情况</w:t>
      </w:r>
      <w:bookmarkEnd w:id="542"/>
    </w:p>
    <w:p>
      <w:pPr>
        <w:rPr>
          <w:rFonts w:hint="eastAsia"/>
          <w:color w:val="000000" w:themeColor="text1"/>
          <w:highlight w:val="none"/>
          <w:lang w:eastAsia="zh-CN"/>
          <w14:textFill>
            <w14:solidFill>
              <w14:schemeClr w14:val="tx1"/>
            </w14:solidFill>
          </w14:textFill>
        </w:rPr>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05"/>
        <w:gridCol w:w="875"/>
        <w:gridCol w:w="810"/>
        <w:gridCol w:w="1352"/>
        <w:gridCol w:w="1311"/>
        <w:gridCol w:w="1104"/>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10" w:type="pct"/>
            <w:vMerge w:val="restart"/>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序号</w:t>
            </w:r>
          </w:p>
        </w:tc>
        <w:tc>
          <w:tcPr>
            <w:tcW w:w="648" w:type="pct"/>
            <w:vMerge w:val="restart"/>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姓名</w:t>
            </w:r>
          </w:p>
        </w:tc>
        <w:tc>
          <w:tcPr>
            <w:tcW w:w="513" w:type="pct"/>
            <w:vMerge w:val="restart"/>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性别</w:t>
            </w:r>
          </w:p>
        </w:tc>
        <w:tc>
          <w:tcPr>
            <w:tcW w:w="475" w:type="pct"/>
            <w:vMerge w:val="restart"/>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出生日期</w:t>
            </w:r>
          </w:p>
        </w:tc>
        <w:tc>
          <w:tcPr>
            <w:tcW w:w="793" w:type="pct"/>
            <w:vMerge w:val="restart"/>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身份证号</w:t>
            </w:r>
          </w:p>
        </w:tc>
        <w:tc>
          <w:tcPr>
            <w:tcW w:w="1416" w:type="pct"/>
            <w:gridSpan w:val="2"/>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职业资格证明（如有）</w:t>
            </w:r>
          </w:p>
        </w:tc>
        <w:tc>
          <w:tcPr>
            <w:tcW w:w="742" w:type="pct"/>
            <w:vMerge w:val="restart"/>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10" w:type="pct"/>
            <w:vMerge w:val="continue"/>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Merge w:val="continue"/>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Merge w:val="continue"/>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Merge w:val="continue"/>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Merge w:val="continue"/>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证书名称</w:t>
            </w:r>
          </w:p>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或级别</w:t>
            </w:r>
          </w:p>
        </w:tc>
        <w:tc>
          <w:tcPr>
            <w:tcW w:w="646" w:type="pct"/>
            <w:vAlign w:val="center"/>
          </w:tcPr>
          <w:p>
            <w:pPr>
              <w:spacing w:line="440" w:lineRule="exact"/>
              <w:ind w:firstLine="105" w:firstLineChars="5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专业</w:t>
            </w:r>
          </w:p>
        </w:tc>
        <w:tc>
          <w:tcPr>
            <w:tcW w:w="742" w:type="pct"/>
            <w:vMerge w:val="continue"/>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10"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8"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1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475"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93"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69"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646"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42" w:type="pct"/>
            <w:vAlign w:val="center"/>
          </w:tcPr>
          <w:p>
            <w:pPr>
              <w:spacing w:line="440" w:lineRule="exact"/>
              <w:ind w:firstLine="105" w:firstLineChars="50"/>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bl>
    <w:p>
      <w:pPr>
        <w:spacing w:line="440" w:lineRule="exact"/>
        <w:ind w:firstLine="420" w:firstLineChars="20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本表后应附拟派往本项目的项目组成员身份证、投标单位为其购买的社保或养老保险等证明资料、职称证（若有）、执（职）业资格证书（若有），根据采购需求及评审办法提供相关人员承诺书（若有）（格式自拟）。人员的证照必须真实，社保或养老保险缴纳单位名称与投标人单位名称要一致。</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投标人名称：</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加盖投标人电子公章）</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法定代表人或委托代理人：</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（电子签章）</w:t>
      </w:r>
    </w:p>
    <w:p>
      <w:pPr>
        <w:pStyle w:val="23"/>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日期：</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年</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月</w:t>
      </w:r>
      <w:r>
        <w:rPr>
          <w:rFonts w:hint="eastAsia" w:ascii="方正仿宋_GBK" w:hAnsi="方正仿宋_GBK" w:eastAsia="方正仿宋_GBK" w:cs="方正仿宋_GBK"/>
          <w:color w:val="000000" w:themeColor="text1"/>
          <w:szCs w:val="2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Cs w:val="21"/>
          <w:highlight w:val="none"/>
          <w14:textFill>
            <w14:solidFill>
              <w14:schemeClr w14:val="tx1"/>
            </w14:solidFill>
          </w14:textFill>
        </w:rPr>
        <w:t>日</w:t>
      </w:r>
    </w:p>
    <w:p>
      <w:pPr>
        <w:pStyle w:val="15"/>
        <w:spacing w:line="440" w:lineRule="exact"/>
        <w:ind w:firstLine="0"/>
        <w:rPr>
          <w:rFonts w:hint="eastAsia" w:ascii="方正仿宋_GBK" w:hAnsi="方正仿宋_GBK" w:eastAsia="方正仿宋_GBK" w:cs="方正仿宋_GBK"/>
          <w:color w:val="000000" w:themeColor="text1"/>
          <w:highlight w:val="none"/>
          <w:lang w:val="en-US"/>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r>
    </w:p>
    <w:p>
      <w:pPr>
        <w:pStyle w:val="7"/>
        <w:spacing w:line="440" w:lineRule="exact"/>
        <w:jc w:val="center"/>
        <w:rPr>
          <w:rFonts w:hint="eastAsia" w:ascii="方正仿宋_GBK" w:hAnsi="方正仿宋_GBK" w:eastAsia="方正仿宋_GBK" w:cs="方正仿宋_GBK"/>
          <w:color w:val="000000" w:themeColor="text1"/>
          <w:highlight w:val="none"/>
          <w:lang w:eastAsia="zh-CN"/>
          <w14:textFill>
            <w14:solidFill>
              <w14:schemeClr w14:val="tx1"/>
            </w14:solidFill>
          </w14:textFill>
        </w:rPr>
      </w:pPr>
      <w:bookmarkStart w:id="543" w:name="_Toc17936"/>
      <w:bookmarkStart w:id="544" w:name="_Toc2923"/>
      <w:bookmarkStart w:id="545" w:name="_Toc14191"/>
      <w:bookmarkStart w:id="546" w:name="_Toc22866"/>
      <w:bookmarkStart w:id="547" w:name="_Toc21433"/>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七</w:t>
      </w:r>
      <w:r>
        <w:rPr>
          <w:rFonts w:hint="eastAsia" w:ascii="方正仿宋_GBK" w:hAnsi="方正仿宋_GBK" w:eastAsia="方正仿宋_GBK" w:cs="方正仿宋_GBK"/>
          <w:color w:val="000000" w:themeColor="text1"/>
          <w:highlight w:val="none"/>
          <w14:textFill>
            <w14:solidFill>
              <w14:schemeClr w14:val="tx1"/>
            </w14:solidFill>
          </w14:textFill>
        </w:rPr>
        <w:t>）类似业绩</w:t>
      </w:r>
      <w:bookmarkEnd w:id="543"/>
      <w:bookmarkEnd w:id="544"/>
      <w:bookmarkEnd w:id="545"/>
      <w:bookmarkEnd w:id="546"/>
      <w:bookmarkEnd w:id="547"/>
    </w:p>
    <w:tbl>
      <w:tblPr>
        <w:tblStyle w:val="41"/>
        <w:tblW w:w="5000" w:type="pct"/>
        <w:jc w:val="center"/>
        <w:tblLayout w:type="autofit"/>
        <w:tblCellMar>
          <w:top w:w="0" w:type="dxa"/>
          <w:left w:w="54" w:type="dxa"/>
          <w:bottom w:w="0" w:type="dxa"/>
          <w:right w:w="54" w:type="dxa"/>
        </w:tblCellMar>
      </w:tblPr>
      <w:tblGrid>
        <w:gridCol w:w="704"/>
        <w:gridCol w:w="1262"/>
        <w:gridCol w:w="1821"/>
        <w:gridCol w:w="1262"/>
        <w:gridCol w:w="2102"/>
        <w:gridCol w:w="1263"/>
      </w:tblGrid>
      <w:tr>
        <w:tblPrEx>
          <w:tblCellMar>
            <w:top w:w="0" w:type="dxa"/>
            <w:left w:w="54" w:type="dxa"/>
            <w:bottom w:w="0" w:type="dxa"/>
            <w:right w:w="54" w:type="dxa"/>
          </w:tblCellMar>
        </w:tblPrEx>
        <w:trPr>
          <w:cantSplit/>
          <w:trHeight w:val="437" w:hRule="atLeast"/>
          <w:jc w:val="center"/>
        </w:trPr>
        <w:tc>
          <w:tcPr>
            <w:tcW w:w="418" w:type="pct"/>
            <w:tcBorders>
              <w:top w:val="single" w:color="auto" w:sz="6"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序号</w:t>
            </w:r>
          </w:p>
        </w:tc>
        <w:tc>
          <w:tcPr>
            <w:tcW w:w="750" w:type="pct"/>
            <w:tcBorders>
              <w:top w:val="single" w:color="auto" w:sz="6"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项目名称</w:t>
            </w:r>
          </w:p>
        </w:tc>
        <w:tc>
          <w:tcPr>
            <w:tcW w:w="1082" w:type="pct"/>
            <w:tcBorders>
              <w:top w:val="single" w:color="auto" w:sz="6"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合同签订日期</w:t>
            </w:r>
          </w:p>
        </w:tc>
        <w:tc>
          <w:tcPr>
            <w:tcW w:w="750" w:type="pct"/>
            <w:tcBorders>
              <w:top w:val="single" w:color="auto" w:sz="6"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合同金额</w:t>
            </w:r>
          </w:p>
        </w:tc>
        <w:tc>
          <w:tcPr>
            <w:tcW w:w="1249" w:type="pct"/>
            <w:tcBorders>
              <w:top w:val="single" w:color="auto" w:sz="6"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采购单位联系人</w:t>
            </w:r>
          </w:p>
        </w:tc>
        <w:tc>
          <w:tcPr>
            <w:tcW w:w="750" w:type="pct"/>
            <w:tcBorders>
              <w:top w:val="single" w:color="auto" w:sz="6"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highlight w:val="none"/>
                <w14:textFill>
                  <w14:solidFill>
                    <w14:schemeClr w14:val="tx1"/>
                  </w14:solidFill>
                </w14:textFill>
              </w:rPr>
              <w:t>联系电话</w:t>
            </w:r>
          </w:p>
        </w:tc>
      </w:tr>
      <w:tr>
        <w:tblPrEx>
          <w:tblCellMar>
            <w:top w:w="0" w:type="dxa"/>
            <w:left w:w="54" w:type="dxa"/>
            <w:bottom w:w="0" w:type="dxa"/>
            <w:right w:w="54" w:type="dxa"/>
          </w:tblCellMar>
        </w:tblPrEx>
        <w:trPr>
          <w:cantSplit/>
          <w:trHeight w:val="461" w:hRule="atLeast"/>
          <w:jc w:val="center"/>
        </w:trPr>
        <w:tc>
          <w:tcPr>
            <w:tcW w:w="418"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w:t>
            </w:r>
          </w:p>
        </w:tc>
        <w:tc>
          <w:tcPr>
            <w:tcW w:w="750" w:type="pct"/>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p>
        </w:tc>
        <w:tc>
          <w:tcPr>
            <w:tcW w:w="1082"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p>
        </w:tc>
        <w:tc>
          <w:tcPr>
            <w:tcW w:w="750"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p>
        </w:tc>
        <w:tc>
          <w:tcPr>
            <w:tcW w:w="1249" w:type="pct"/>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p>
        </w:tc>
        <w:tc>
          <w:tcPr>
            <w:tcW w:w="750"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b/>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cantSplit/>
          <w:trHeight w:val="452" w:hRule="atLeast"/>
          <w:jc w:val="center"/>
        </w:trPr>
        <w:tc>
          <w:tcPr>
            <w:tcW w:w="418"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w:t>
            </w:r>
          </w:p>
        </w:tc>
        <w:tc>
          <w:tcPr>
            <w:tcW w:w="750" w:type="pct"/>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82"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50"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249" w:type="pct"/>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50"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r>
        <w:tblPrEx>
          <w:tblCellMar>
            <w:top w:w="0" w:type="dxa"/>
            <w:left w:w="54" w:type="dxa"/>
            <w:bottom w:w="0" w:type="dxa"/>
            <w:right w:w="54" w:type="dxa"/>
          </w:tblCellMar>
        </w:tblPrEx>
        <w:trPr>
          <w:cantSplit/>
          <w:trHeight w:val="473" w:hRule="atLeast"/>
          <w:jc w:val="center"/>
        </w:trPr>
        <w:tc>
          <w:tcPr>
            <w:tcW w:w="418"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p>
        </w:tc>
        <w:tc>
          <w:tcPr>
            <w:tcW w:w="750" w:type="pct"/>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82"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50" w:type="pct"/>
            <w:tcBorders>
              <w:top w:val="single" w:color="auto" w:sz="4" w:space="0"/>
              <w:left w:val="single" w:color="auto" w:sz="6"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249" w:type="pct"/>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750" w:type="pct"/>
            <w:tcBorders>
              <w:top w:val="single" w:color="auto" w:sz="4" w:space="0"/>
              <w:left w:val="single" w:color="auto" w:sz="4" w:space="0"/>
              <w:bottom w:val="single" w:color="auto" w:sz="4" w:space="0"/>
              <w:right w:val="single" w:color="auto" w:sz="6" w:space="0"/>
            </w:tcBorders>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r>
    </w:tbl>
    <w:p>
      <w:pPr>
        <w:spacing w:line="440" w:lineRule="exact"/>
        <w:rPr>
          <w:rFonts w:hint="eastAsia" w:ascii="方正仿宋_GBK" w:hAnsi="方正仿宋_GBK" w:eastAsia="方正仿宋_GBK" w:cs="方正仿宋_GBK"/>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Cs w:val="21"/>
          <w:highlight w:val="none"/>
          <w14:textFill>
            <w14:solidFill>
              <w14:schemeClr w14:val="tx1"/>
            </w14:solidFill>
          </w14:textFill>
        </w:rPr>
        <w:t>注：投标人随本表附有效相类似项目业绩证明材料（中标（成交）通知书或合同等）。</w:t>
      </w:r>
    </w:p>
    <w:p>
      <w:pPr>
        <w:spacing w:line="440" w:lineRule="exact"/>
        <w:rPr>
          <w:rFonts w:hint="eastAsia" w:ascii="方正仿宋_GBK" w:hAnsi="方正仿宋_GBK" w:eastAsia="方正仿宋_GBK" w:cs="方正仿宋_GBK"/>
          <w:b/>
          <w:color w:val="000000" w:themeColor="text1"/>
          <w:szCs w:val="21"/>
          <w:highlight w:val="none"/>
          <w14:textFill>
            <w14:solidFill>
              <w14:schemeClr w14:val="tx1"/>
            </w14:solidFill>
          </w14:textFill>
        </w:rPr>
      </w:pPr>
    </w:p>
    <w:bookmarkEnd w:id="519"/>
    <w:bookmarkEnd w:id="520"/>
    <w:bookmarkEnd w:id="521"/>
    <w:bookmarkEnd w:id="522"/>
    <w:p>
      <w:pPr>
        <w:rPr>
          <w:rFonts w:hint="eastAsia" w:ascii="方正仿宋_GBK" w:hAnsi="方正仿宋_GBK" w:eastAsia="方正仿宋_GBK" w:cs="方正仿宋_GBK"/>
          <w:color w:val="000000" w:themeColor="text1"/>
          <w:highlight w:val="none"/>
          <w14:textFill>
            <w14:solidFill>
              <w14:schemeClr w14:val="tx1"/>
            </w14:solidFill>
          </w14:textFill>
        </w:rPr>
      </w:pPr>
      <w:bookmarkStart w:id="548" w:name="_Toc481694862"/>
      <w:bookmarkStart w:id="549" w:name="_Toc489197873"/>
      <w:bookmarkStart w:id="550" w:name="_Toc488633634"/>
      <w:bookmarkStart w:id="551" w:name="_Toc489145769"/>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   </w:t>
      </w:r>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rPr>
          <w:rFonts w:hint="eastAsia" w:ascii="方正仿宋_GBK" w:hAnsi="方正仿宋_GBK" w:eastAsia="方正仿宋_GBK" w:cs="方正仿宋_GBK"/>
          <w:color w:val="000000" w:themeColor="text1"/>
          <w:highlight w:val="none"/>
          <w14:textFill>
            <w14:solidFill>
              <w14:schemeClr w14:val="tx1"/>
            </w14:solidFill>
          </w14:textFill>
        </w:rPr>
      </w:pPr>
    </w:p>
    <w:p>
      <w:pPr>
        <w:pStyle w:val="7"/>
        <w:spacing w:line="440" w:lineRule="exact"/>
        <w:jc w:val="center"/>
        <w:rPr>
          <w:rFonts w:hint="eastAsia" w:ascii="方正仿宋_GBK" w:hAnsi="方正仿宋_GBK" w:eastAsia="方正仿宋_GBK" w:cs="方正仿宋_GBK"/>
          <w:color w:val="000000" w:themeColor="text1"/>
          <w:highlight w:val="none"/>
          <w14:textFill>
            <w14:solidFill>
              <w14:schemeClr w14:val="tx1"/>
            </w14:solidFill>
          </w14:textFill>
        </w:rPr>
      </w:pPr>
      <w:bookmarkStart w:id="552" w:name="_Toc19236"/>
      <w:bookmarkStart w:id="553" w:name="_Toc32463"/>
      <w:bookmarkStart w:id="554" w:name="_Toc19220"/>
      <w:bookmarkStart w:id="555" w:name="_Toc25684"/>
      <w:bookmarkStart w:id="556" w:name="_Toc4855"/>
      <w:r>
        <w:rPr>
          <w:rFonts w:hint="eastAsia" w:ascii="方正仿宋_GBK" w:hAnsi="方正仿宋_GBK" w:eastAsia="方正仿宋_GBK" w:cs="方正仿宋_GBK"/>
          <w:color w:val="000000" w:themeColor="text1"/>
          <w:highlight w:val="none"/>
          <w14:textFill>
            <w14:solidFill>
              <w14:schemeClr w14:val="tx1"/>
            </w14:solidFill>
          </w14:textFill>
        </w:rPr>
        <w:t>（</w:t>
      </w:r>
      <w:r>
        <w:rPr>
          <w:rFonts w:hint="eastAsia" w:ascii="方正仿宋_GBK" w:hAnsi="方正仿宋_GBK" w:eastAsia="方正仿宋_GBK" w:cs="方正仿宋_GBK"/>
          <w:color w:val="000000" w:themeColor="text1"/>
          <w:highlight w:val="none"/>
          <w:lang w:val="en-US"/>
          <w14:textFill>
            <w14:solidFill>
              <w14:schemeClr w14:val="tx1"/>
            </w14:solidFill>
          </w14:textFill>
        </w:rPr>
        <w:t>八</w:t>
      </w:r>
      <w:r>
        <w:rPr>
          <w:rFonts w:hint="eastAsia" w:ascii="方正仿宋_GBK" w:hAnsi="方正仿宋_GBK" w:eastAsia="方正仿宋_GBK" w:cs="方正仿宋_GBK"/>
          <w:color w:val="000000" w:themeColor="text1"/>
          <w:highlight w:val="none"/>
          <w14:textFill>
            <w14:solidFill>
              <w14:schemeClr w14:val="tx1"/>
            </w14:solidFill>
          </w14:textFill>
        </w:rPr>
        <w:t>）构成投标文件的其他资料</w:t>
      </w:r>
      <w:bookmarkEnd w:id="548"/>
      <w:bookmarkEnd w:id="549"/>
      <w:bookmarkEnd w:id="550"/>
      <w:bookmarkEnd w:id="551"/>
      <w:bookmarkEnd w:id="552"/>
      <w:bookmarkEnd w:id="553"/>
      <w:bookmarkEnd w:id="554"/>
      <w:bookmarkEnd w:id="555"/>
      <w:bookmarkEnd w:id="556"/>
    </w:p>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详见第二章《投标人须知前附表》第15.1.7条，请自拟格式。</w:t>
      </w: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1.第五章《采购需求》中要求提供的其他资料；</w:t>
      </w: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2.招标文件中所要求或投标人认为必须提供的其他相关资料（如投标文件封面等）。</w:t>
      </w: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p>
      <w:pPr>
        <w:widowControl/>
        <w:spacing w:line="440" w:lineRule="exact"/>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p>
    <w:bookmarkEnd w:id="14"/>
    <w:bookmarkEnd w:id="15"/>
    <w:p>
      <w:pPr>
        <w:rPr>
          <w:rFonts w:hint="eastAsia" w:ascii="方正仿宋_GBK" w:hAnsi="方正仿宋_GBK" w:eastAsia="方正仿宋_GBK" w:cs="方正仿宋_GBK"/>
          <w:color w:val="000000" w:themeColor="text1"/>
          <w:highlight w:val="none"/>
          <w14:textFill>
            <w14:solidFill>
              <w14:schemeClr w14:val="tx1"/>
            </w14:solidFill>
          </w14:textFill>
        </w:rPr>
      </w:pPr>
      <w:bookmarkStart w:id="557" w:name="_Toc480817651"/>
      <w:bookmarkStart w:id="558" w:name="_Toc401342142"/>
      <w:bookmarkStart w:id="559" w:name="_Toc489145771"/>
      <w:bookmarkStart w:id="560" w:name="_Toc8419"/>
      <w:bookmarkStart w:id="561" w:name="_Toc40646886"/>
      <w:bookmarkStart w:id="562" w:name="_Toc29379757"/>
      <w:bookmarkStart w:id="563" w:name="_Toc489145773"/>
      <w:r>
        <w:rPr>
          <w:rFonts w:hint="eastAsia" w:ascii="方正仿宋_GBK" w:hAnsi="方正仿宋_GBK" w:eastAsia="方正仿宋_GBK" w:cs="方正仿宋_GBK"/>
          <w:color w:val="000000" w:themeColor="text1"/>
          <w:highlight w:val="none"/>
          <w14:textFill>
            <w14:solidFill>
              <w14:schemeClr w14:val="tx1"/>
            </w14:solidFill>
          </w14:textFill>
        </w:rPr>
        <w:br w:type="page"/>
      </w:r>
    </w:p>
    <w:p>
      <w:pPr>
        <w:pStyle w:val="5"/>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564" w:name="_Toc24766"/>
      <w:bookmarkStart w:id="565" w:name="_Toc16861"/>
      <w:bookmarkStart w:id="566" w:name="_Toc19120"/>
      <w:bookmarkStart w:id="567" w:name="_Toc15256"/>
      <w:bookmarkStart w:id="568" w:name="_Toc31682"/>
      <w:r>
        <w:rPr>
          <w:rFonts w:hint="eastAsia" w:ascii="方正仿宋_GBK" w:hAnsi="方正仿宋_GBK" w:eastAsia="方正仿宋_GBK" w:cs="方正仿宋_GBK"/>
          <w:color w:val="000000" w:themeColor="text1"/>
          <w:highlight w:val="none"/>
          <w:lang w:val="en-US"/>
          <w14:textFill>
            <w14:solidFill>
              <w14:schemeClr w14:val="tx1"/>
            </w14:solidFill>
          </w14:textFill>
        </w:rPr>
        <w:t xml:space="preserve">第五章 </w:t>
      </w:r>
      <w:r>
        <w:rPr>
          <w:rFonts w:hint="eastAsia" w:ascii="方正仿宋_GBK" w:hAnsi="方正仿宋_GBK" w:eastAsia="方正仿宋_GBK" w:cs="方正仿宋_GBK"/>
          <w:color w:val="000000" w:themeColor="text1"/>
          <w:highlight w:val="none"/>
          <w14:textFill>
            <w14:solidFill>
              <w14:schemeClr w14:val="tx1"/>
            </w14:solidFill>
          </w14:textFill>
        </w:rPr>
        <w:t>采购需求</w:t>
      </w:r>
      <w:bookmarkEnd w:id="557"/>
      <w:bookmarkEnd w:id="558"/>
      <w:bookmarkEnd w:id="559"/>
      <w:bookmarkEnd w:id="560"/>
      <w:bookmarkEnd w:id="564"/>
      <w:bookmarkEnd w:id="565"/>
      <w:bookmarkEnd w:id="566"/>
      <w:bookmarkEnd w:id="567"/>
      <w:bookmarkEnd w:id="568"/>
    </w:p>
    <w:p>
      <w:pPr>
        <w:pStyle w:val="7"/>
        <w:spacing w:line="440" w:lineRule="exact"/>
        <w:jc w:val="center"/>
        <w:rPr>
          <w:rFonts w:hint="eastAsia" w:ascii="方正仿宋_GBK" w:hAnsi="方正仿宋_GBK" w:eastAsia="方正仿宋_GBK" w:cs="方正仿宋_GBK"/>
          <w:color w:val="000000" w:themeColor="text1"/>
          <w:sz w:val="21"/>
          <w:szCs w:val="16"/>
          <w:highlight w:val="none"/>
          <w14:textFill>
            <w14:solidFill>
              <w14:schemeClr w14:val="tx1"/>
            </w14:solidFill>
          </w14:textFill>
        </w:rPr>
      </w:pPr>
      <w:bookmarkStart w:id="569" w:name="_Toc31062"/>
      <w:bookmarkStart w:id="570" w:name="_Toc1806"/>
      <w:bookmarkStart w:id="571" w:name="_Toc32018"/>
      <w:bookmarkStart w:id="572" w:name="_Toc12820"/>
      <w:bookmarkStart w:id="573" w:name="_Toc18579"/>
      <w:r>
        <w:rPr>
          <w:rFonts w:hint="eastAsia" w:ascii="方正仿宋_GBK" w:hAnsi="方正仿宋_GBK" w:eastAsia="方正仿宋_GBK" w:cs="方正仿宋_GBK"/>
          <w:color w:val="000000" w:themeColor="text1"/>
          <w:sz w:val="21"/>
          <w:szCs w:val="16"/>
          <w:highlight w:val="none"/>
          <w14:textFill>
            <w14:solidFill>
              <w14:schemeClr w14:val="tx1"/>
            </w14:solidFill>
          </w14:textFill>
        </w:rPr>
        <w:t>一、采购标的需实现的功能或者目标，以及为落实政府采购政策需满足的要求；</w:t>
      </w:r>
      <w:bookmarkEnd w:id="569"/>
      <w:bookmarkEnd w:id="570"/>
      <w:bookmarkEnd w:id="571"/>
      <w:bookmarkEnd w:id="572"/>
      <w:bookmarkEnd w:id="573"/>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74" w:name="_Toc8582"/>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1.项目目标</w:t>
      </w:r>
      <w:bookmarkEnd w:id="574"/>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根据《云南省地质灾害防治“十四五”规划（2021-2025年）》、《云南省人民政府办公厅关于进一步加强地质灾害隐患风险综合防御体系建设的实施意见》、自然资源部《地质灾害隐患点和风险区更新调查工作方案》、《自然资源部办公厅关于规范地质灾害隐患点管理的通知》等文件要求，对部署于互联网及自然资源专网</w:t>
      </w: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的云南省地质灾害隐患识别综合系统进行优化升级。进行GAMMA系统软件更新升级，提升合成孔径雷达干涉测量监测计算能力，适配陆探（LT-1）等多源 SAR 数据计算。</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更好地满足行政部门和技术单位对</w:t>
      </w: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云南省隐患识别综合系统</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的应用需求。</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75" w:name="_Toc21860"/>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2.采购内容</w:t>
      </w:r>
      <w:bookmarkEnd w:id="575"/>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（1）地质灾害隐患识别综合系统运维及支撑服务</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①针对部署于自然资源专网中的地质灾害隐患识别综合系统三维可视化平台、地质灾害隐患识别等模块进行运行维护。</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②针对部署于互联网中的隐患识别一张图模块功能进行优化，对系统管理模块进行运行维护。</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（2）GAMMA系统软件更新升级</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根据业务需要，针对于2021年购置的GAMMA软件进行软件更新及功能升级，包括以下3个方面：</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①包括近几年国内外新发射的陆地探测一号卫星（LT-1）、涪城一号卫星、巢湖一号卫星、宏图一号卫星、NISAR卫星、ALOS-4卫星、Sentinel-1C等SAR影像的读取与计算模块。</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②提高数据处理效率的脚本，包括SAR影像读取、配准、地理编码等步骤。</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③提供SAR数据时间序列处理方法的程序更新，包括但不限于SBAS方法、PS方法等。</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76" w:name="_Toc11212"/>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3.驻场运维</w:t>
      </w:r>
      <w:bookmarkEnd w:id="576"/>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在服务期限内，指派1名相关专业的专业技术人员开展不少于6个月的驻场运行维护服务。</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77" w:name="_Toc4475"/>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4.落实政府采购政策需满足的要求</w:t>
      </w:r>
      <w:bookmarkEnd w:id="577"/>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1）符合《中华人民共和国政府采购法》《中华人民共和国政府采购法实施条例》《政府采购货物和服务招标投标管理办法》（财政部令第87号）等有关法律法规和规章的规定；（2）符合《政府采购促进中小企业发展管理办法》（财库〔2020〕46号）、《关于政府采购支持监狱企业发展有关问题的通知》（财库〔2014〕68号）、《关于促进残疾人就业政府采购政策的通知》（财库〔2017〕141号）等有关法规、规章和条例的规定。</w:t>
      </w:r>
    </w:p>
    <w:p>
      <w:pPr>
        <w:pStyle w:val="7"/>
        <w:spacing w:line="440" w:lineRule="exact"/>
        <w:jc w:val="center"/>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pPr>
      <w:bookmarkStart w:id="578" w:name="_Toc9025"/>
      <w:bookmarkStart w:id="579" w:name="_Toc8322"/>
      <w:bookmarkStart w:id="580" w:name="_Toc6447"/>
      <w:bookmarkStart w:id="581" w:name="_Toc16285"/>
      <w:bookmarkStart w:id="582" w:name="_Toc7656"/>
      <w:r>
        <w:rPr>
          <w:rFonts w:hint="eastAsia" w:ascii="方正仿宋_GBK" w:hAnsi="方正仿宋_GBK" w:eastAsia="方正仿宋_GBK" w:cs="方正仿宋_GBK"/>
          <w:color w:val="000000" w:themeColor="text1"/>
          <w:sz w:val="21"/>
          <w:szCs w:val="16"/>
          <w:highlight w:val="none"/>
          <w14:textFill>
            <w14:solidFill>
              <w14:schemeClr w14:val="tx1"/>
            </w14:solidFill>
          </w14:textFill>
        </w:rPr>
        <w:t>二、采购标的需执行的国家相关标准、行业标准、地方标准或者其他标准、规范；</w:t>
      </w:r>
      <w:bookmarkEnd w:id="578"/>
      <w:bookmarkEnd w:id="579"/>
      <w:bookmarkEnd w:id="580"/>
      <w:bookmarkEnd w:id="581"/>
      <w:bookmarkEnd w:id="582"/>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严格执行现行国家法律法规、标准规范、行业标准、地方标准或其他标准规范，满足云南省地质灾害隐患风险综合防御体系建设、云南省地质环境信息化建设、云南省地质灾害隐患识别体系、云南省地质灾害风险精准调查等相关要求。</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本次采购执行的标准规范，包括且不限于以下内容：</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国家相关标准：现行国家标准，参考GB/T24405.1-2009《信息技术服务管理》、GB/T2887-2011《电子计算机场地通用规范》、GB/T 28827.1-2012《信息技术服务运行维护要求》、GB/T24001-2016《环境管理体系要求及使用指南》、GB/T19001-2016《质量管理体系要求》、GB9361-2011《计算机场地安全要求》。</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行业标准：参考（但不限于）下列标准、规范和要求。</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1.《自然资源部信息化建设总体方案》；</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2.《实景三维中国建设技术大纲（2021版）》；</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3.《地质灾害风险调查评价规范（1:50000）》（DZ/T 0438-2023）；</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 xml:space="preserve">4.《基础地理信息数据库建设规范》（GB/T 33453-2016）； </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5.《地理信息分类与编码规则》（GB/T 25529-2010）；</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6.《专题地图信息分类与代码》（GB/T 18317-2009）；</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7.《国土调查数据库标准》（TD/T 1057-2020）；</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8.《光学遥感测绘卫星影像产品元数据》（GB/T35643-2017）；</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9.《国土资源信息元数据》（TD/T 1016-2003）；</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10.《基础地理信息数字成果元数据》（GB/T 39608-2020）；</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11.《公开地图内容表示要求》（GB/T 35764-2017）；</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12.《公共服务电子地图瓦片数据规范》（GB/T 35634-2017）；</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13.《1:50000 地形图合成孔径雷达航天摄影测量技术规定》（CH/T 3009-2012）；</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14.《数字测绘成果质量检查与验收》（GB/T 18316-2008）；</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15.《测绘成果质量检查与验收》（GB_T24356-2009）</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w:t>
      </w:r>
    </w:p>
    <w:p>
      <w:pPr>
        <w:pStyle w:val="7"/>
        <w:spacing w:line="440" w:lineRule="exact"/>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pPr>
      <w:bookmarkStart w:id="583" w:name="_Toc307"/>
      <w:bookmarkStart w:id="584" w:name="_Toc92"/>
      <w:bookmarkStart w:id="585" w:name="_Toc3264"/>
      <w:bookmarkStart w:id="586" w:name="_Toc26281"/>
      <w:bookmarkStart w:id="587" w:name="_Toc28316"/>
      <w:r>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t>三、采购标的需满足的质量、安全、技术规格、物理特性等要求；</w:t>
      </w:r>
      <w:bookmarkEnd w:id="583"/>
      <w:bookmarkEnd w:id="584"/>
      <w:bookmarkEnd w:id="585"/>
      <w:bookmarkEnd w:id="586"/>
      <w:bookmarkEnd w:id="587"/>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88" w:name="_Toc5452"/>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1.质量标准</w:t>
      </w:r>
      <w:bookmarkEnd w:id="588"/>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质量要求：</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1 \* GB3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①</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工作日响应时间：要求对以上服务内容提供5*8小时技术支持（工作日），并对事件及处理结果进行记录。做好系统故障应急处理预案，确保系统7*24小时不间断运行。</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2 \* GB3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②</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非工作日及国家法定节日，供应商应依据采购人实际工作需要提供值班技术人员提供保障服务。周末及节假日如发生系统故障并影响办公，需安排技术服务人员紧急保障。</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3 \* GB3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③</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故障响应及处理时间：故障响应时间为5分钟。</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1 \* ROMAN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I</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紧急故障问题：解决处理时间1小时以内。</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2 \* ROMAN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II</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严重故障问题：解决处理时间2个小时以内。</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instrText xml:space="preserve"> = 3 \* ROMAN </w:instrTex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III</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一般故障问题：解决处理时间4个小时以内。</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安全要求：符合国家有关安全要求，确保实施安全、环境安全、运行安全、人员安全、信息安全和系统安全等，并签订保密协议。</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技术规格：满足招标要求及项目需要，工作开展须满足国家相关技术规范。</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物理特性：确保设备/配件无物理损毁。</w:t>
      </w:r>
    </w:p>
    <w:p>
      <w:pPr>
        <w:pStyle w:val="7"/>
        <w:spacing w:line="440" w:lineRule="exact"/>
        <w:rPr>
          <w:rFonts w:hint="eastAsia" w:ascii="方正仿宋_GBK" w:hAnsi="方正仿宋_GBK" w:eastAsia="方正仿宋_GBK" w:cs="方正仿宋_GBK"/>
          <w:color w:val="000000" w:themeColor="text1"/>
          <w:sz w:val="21"/>
          <w:szCs w:val="21"/>
          <w:highlight w:val="none"/>
          <w:lang w:val="en-US"/>
          <w14:textFill>
            <w14:solidFill>
              <w14:schemeClr w14:val="tx1"/>
            </w14:solidFill>
          </w14:textFill>
        </w:rPr>
      </w:pPr>
      <w:bookmarkStart w:id="589" w:name="_Toc20641"/>
      <w:bookmarkStart w:id="590" w:name="_Toc8979"/>
      <w:bookmarkStart w:id="591" w:name="_Toc20185"/>
      <w:bookmarkStart w:id="592" w:name="_Toc9321"/>
      <w:bookmarkStart w:id="593" w:name="_Toc7767"/>
      <w:r>
        <w:rPr>
          <w:rFonts w:hint="eastAsia" w:ascii="方正仿宋_GBK" w:hAnsi="方正仿宋_GBK" w:eastAsia="方正仿宋_GBK" w:cs="方正仿宋_GBK"/>
          <w:color w:val="000000" w:themeColor="text1"/>
          <w:sz w:val="21"/>
          <w:szCs w:val="21"/>
          <w:highlight w:val="none"/>
          <w:lang w:val="en-US"/>
          <w14:textFill>
            <w14:solidFill>
              <w14:schemeClr w14:val="tx1"/>
            </w14:solidFill>
          </w14:textFill>
        </w:rPr>
        <w:t>四、采购标的的数量、采购项目交付或者实施的时间和地点；</w:t>
      </w:r>
      <w:bookmarkEnd w:id="589"/>
      <w:bookmarkEnd w:id="590"/>
      <w:bookmarkEnd w:id="591"/>
      <w:bookmarkEnd w:id="592"/>
      <w:bookmarkEnd w:id="593"/>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1</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采购标的数量：</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项。</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2</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项目交付及实施地点：云南省自然资源厅指定地点。</w:t>
      </w:r>
    </w:p>
    <w:p>
      <w:pPr>
        <w:widowControl/>
        <w:wordWrap w:val="0"/>
        <w:spacing w:line="440" w:lineRule="exact"/>
        <w:ind w:firstLine="420" w:firstLineChars="200"/>
        <w:jc w:val="left"/>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3</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项目实施时间要求：自合同签订之日起即开展运维工作，</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云南省地质灾害隐患识别综合</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系统运维期至2026年12月</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底，GAMMA系统软件更新升级服务期限至2028年</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w:t>
      </w:r>
    </w:p>
    <w:p>
      <w:pPr>
        <w:widowControl/>
        <w:spacing w:line="440" w:lineRule="exact"/>
        <w:ind w:firstLine="420" w:firstLineChars="200"/>
        <w:jc w:val="left"/>
        <w:rPr>
          <w:rFonts w:hint="eastAsia" w:ascii="方正仿宋_GBK" w:hAnsi="方正仿宋_GBK" w:eastAsia="方正仿宋_GBK" w:cs="方正仿宋_GBK"/>
          <w:bCs/>
          <w:color w:val="000000" w:themeColor="text1"/>
          <w:sz w:val="2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4</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进度要求：供应商应自合同签订之日起即开展</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云南省地质灾害隐患识别综合</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系统</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运维工作和GAMMA系统软件更新升级</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工作，</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云南省地质灾害隐患识别综合</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系统</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运维</w:t>
      </w:r>
      <w:r>
        <w:rPr>
          <w:rFonts w:hint="eastAsia" w:ascii="方正仿宋_GBK" w:hAnsi="方正仿宋_GBK" w:eastAsia="方正仿宋_GBK" w:cs="方正仿宋_GBK"/>
          <w:color w:val="000000" w:themeColor="text1"/>
          <w:kern w:val="0"/>
          <w:sz w:val="21"/>
          <w:szCs w:val="21"/>
          <w:highlight w:val="none"/>
          <w14:textFill>
            <w14:solidFill>
              <w14:schemeClr w14:val="tx1"/>
            </w14:solidFill>
          </w14:textFill>
        </w:rPr>
        <w:t>工作需要在2026年6月底前完成，运维期至2026年12月</w:t>
      </w:r>
      <w:r>
        <w:rPr>
          <w:rFonts w:hint="eastAsia" w:ascii="方正仿宋_GBK" w:hAnsi="方正仿宋_GBK" w:eastAsia="方正仿宋_GBK" w:cs="方正仿宋_GBK"/>
          <w:color w:val="000000" w:themeColor="text1"/>
          <w:kern w:val="0"/>
          <w:sz w:val="21"/>
          <w:szCs w:val="21"/>
          <w:highlight w:val="none"/>
          <w:lang w:val="en-US" w:eastAsia="zh-CN"/>
          <w14:textFill>
            <w14:solidFill>
              <w14:schemeClr w14:val="tx1"/>
            </w14:solidFill>
          </w14:textFill>
        </w:rPr>
        <w:t>底；GAMMA系统软件更新升级服务期限至2028年</w:t>
      </w:r>
      <w:r>
        <w:rPr>
          <w:rFonts w:hint="eastAsia" w:ascii="方正仿宋_GBK" w:hAnsi="方正仿宋_GBK" w:eastAsia="方正仿宋_GBK" w:cs="方正仿宋_GBK"/>
          <w:color w:val="000000" w:themeColor="text1"/>
          <w:sz w:val="21"/>
          <w:szCs w:val="21"/>
          <w:highlight w:val="none"/>
          <w14:textFill>
            <w14:solidFill>
              <w14:schemeClr w14:val="tx1"/>
            </w14:solidFill>
          </w14:textFill>
        </w:rPr>
        <w:t>。</w:t>
      </w:r>
    </w:p>
    <w:p>
      <w:pPr>
        <w:pStyle w:val="7"/>
        <w:spacing w:line="440" w:lineRule="exact"/>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pPr>
      <w:bookmarkStart w:id="594" w:name="_Toc20035"/>
      <w:bookmarkStart w:id="595" w:name="_Toc26883"/>
      <w:bookmarkStart w:id="596" w:name="_Toc9041"/>
      <w:bookmarkStart w:id="597" w:name="_Toc28979"/>
      <w:bookmarkStart w:id="598" w:name="_Toc3917"/>
      <w:r>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t>五、采购标的需满足的服务标准、期限、效率等要求；</w:t>
      </w:r>
      <w:bookmarkEnd w:id="594"/>
      <w:bookmarkEnd w:id="595"/>
      <w:bookmarkEnd w:id="596"/>
      <w:bookmarkEnd w:id="597"/>
      <w:bookmarkEnd w:id="598"/>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599" w:name="_Toc11131"/>
      <w:bookmarkStart w:id="600" w:name="_Toc24080"/>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1.采购标的需满足的服务标准</w:t>
      </w:r>
      <w:bookmarkEnd w:id="599"/>
      <w:bookmarkEnd w:id="600"/>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满足国家相关标准、行业标准、地方标准或者其他标准、规范要求，具备开展系统</w:t>
      </w:r>
      <w:r>
        <w:rPr>
          <w:rFonts w:hint="eastAsia" w:ascii="方正仿宋_GBK" w:hAnsi="方正仿宋_GBK" w:eastAsia="方正仿宋_GBK" w:cs="方正仿宋_GBK"/>
          <w:b w:val="0"/>
          <w:bCs w:val="0"/>
          <w:color w:val="000000" w:themeColor="text1"/>
          <w:kern w:val="0"/>
          <w:szCs w:val="21"/>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数据运维的能力或工作经验，能满足系统</w:t>
      </w:r>
      <w:r>
        <w:rPr>
          <w:rFonts w:hint="eastAsia" w:ascii="方正仿宋_GBK" w:hAnsi="方正仿宋_GBK" w:eastAsia="方正仿宋_GBK" w:cs="方正仿宋_GBK"/>
          <w:b w:val="0"/>
          <w:bCs w:val="0"/>
          <w:color w:val="000000" w:themeColor="text1"/>
          <w:kern w:val="0"/>
          <w:szCs w:val="21"/>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数据运维要求。</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601" w:name="_Toc11677"/>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2.期限</w:t>
      </w:r>
      <w:bookmarkEnd w:id="601"/>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（1）在合同签订后20个日历天内完成运行维护方案的编写并通过专家评审；于服务期限的最后一个月提交运行维护工作</w:t>
      </w:r>
      <w:r>
        <w:rPr>
          <w:rFonts w:hint="eastAsia" w:ascii="方正仿宋_GBK" w:hAnsi="方正仿宋_GBK" w:eastAsia="方正仿宋_GBK" w:cs="方正仿宋_GBK"/>
          <w:b w:val="0"/>
          <w:bCs w:val="0"/>
          <w:color w:val="000000" w:themeColor="text1"/>
          <w:kern w:val="0"/>
          <w:szCs w:val="21"/>
          <w:highlight w:val="none"/>
          <w:lang w:val="en-US" w:eastAsia="zh-CN"/>
          <w14:textFill>
            <w14:solidFill>
              <w14:schemeClr w14:val="tx1"/>
            </w14:solidFill>
          </w14:textFill>
        </w:rPr>
        <w:t>总结</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报告并通过专家评审。</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（2）驻场运维期限按照驻场运维的时间要求进行。</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（3）GAMMA软件更新升级的服务期为</w:t>
      </w:r>
      <w:r>
        <w:rPr>
          <w:rFonts w:hint="eastAsia" w:ascii="方正仿宋_GBK" w:hAnsi="方正仿宋_GBK" w:eastAsia="方正仿宋_GBK" w:cs="方正仿宋_GBK"/>
          <w:b w:val="0"/>
          <w:bCs w:val="0"/>
          <w:color w:val="000000" w:themeColor="text1"/>
          <w:kern w:val="0"/>
          <w:szCs w:val="21"/>
          <w:highlight w:val="none"/>
          <w:lang w:val="en-US" w:eastAsia="zh-CN"/>
          <w14:textFill>
            <w14:solidFill>
              <w14:schemeClr w14:val="tx1"/>
            </w14:solidFill>
          </w14:textFill>
        </w:rPr>
        <w:t>3</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年。</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（4）其他运维服务期为1年。</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602" w:name="_Toc17782"/>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3.服务要求</w:t>
      </w:r>
      <w:bookmarkEnd w:id="602"/>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w:t>
      </w:r>
      <w:r>
        <w:rPr>
          <w:rFonts w:hint="eastAsia" w:ascii="方正仿宋_GBK" w:hAnsi="方正仿宋_GBK" w:eastAsia="方正仿宋_GBK" w:cs="方正仿宋_GBK"/>
          <w:b w:val="0"/>
          <w:bCs w:val="0"/>
          <w:color w:val="000000" w:themeColor="text1"/>
          <w:kern w:val="0"/>
          <w:szCs w:val="21"/>
          <w:highlight w:val="none"/>
          <w:lang w:val="en-US" w:eastAsia="zh-CN"/>
          <w14:textFill>
            <w14:solidFill>
              <w14:schemeClr w14:val="tx1"/>
            </w14:solidFill>
          </w14:textFill>
        </w:rPr>
        <w:t>1</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）运维要求</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1 \* GB3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①</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工作日响应时间：要求对以上服务内容提供5*8小时技术支持（工作日），并对事件及处理结果进行记录。做好系统故障应急处理预案，确保系统7*24小时不间断运行。</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2 \* GB3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②</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非工作日及国家法定节日，供应商应依据采购人实际工作需要提供值班技术人员提供保障服务。周末及节假日如发生系统故障并影响办公，需安排技术服务人员紧急保障。</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3 \* GB3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③</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故障响应及处理时间：故障响应时间为5分钟。</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1 \* ROMAN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I</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紧急故障问题：解决处理时间1小时以内。</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2 \* ROMAN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II</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严重故障问题：解决处理时间2个小时以内。</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begin"/>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instrText xml:space="preserve"> = 3 \* ROMAN </w:instrTex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separate"/>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III</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fldChar w:fldCharType="end"/>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一般故障问题：解决处理时间4个小时以内。</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w:t>
      </w:r>
      <w:r>
        <w:rPr>
          <w:rFonts w:hint="eastAsia" w:ascii="方正仿宋_GBK" w:hAnsi="方正仿宋_GBK" w:eastAsia="方正仿宋_GBK" w:cs="方正仿宋_GBK"/>
          <w:b w:val="0"/>
          <w:bCs w:val="0"/>
          <w:color w:val="000000" w:themeColor="text1"/>
          <w:kern w:val="0"/>
          <w:szCs w:val="21"/>
          <w:highlight w:val="none"/>
          <w:lang w:val="en-US" w:eastAsia="zh-CN"/>
          <w14:textFill>
            <w14:solidFill>
              <w14:schemeClr w14:val="tx1"/>
            </w14:solidFill>
          </w14:textFill>
        </w:rPr>
        <w:t>2</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）驻场要求</w:t>
      </w:r>
    </w:p>
    <w:p>
      <w:pPr>
        <w:widowControl/>
        <w:spacing w:line="440" w:lineRule="exact"/>
        <w:ind w:firstLine="420" w:firstLineChars="200"/>
        <w:jc w:val="left"/>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kern w:val="0"/>
          <w:szCs w:val="21"/>
          <w:highlight w:val="none"/>
          <w:lang w:val="en-US" w:eastAsia="zh-CN"/>
          <w14:textFill>
            <w14:solidFill>
              <w14:schemeClr w14:val="tx1"/>
            </w14:solidFill>
          </w14:textFill>
        </w:rPr>
        <w:t>在服务期限内，指派1名相关专业的专业技术人员开展不少于6个月的驻场运行维护服务，自备电脑</w:t>
      </w:r>
      <w:r>
        <w:rPr>
          <w:rFonts w:hint="eastAsia" w:ascii="方正仿宋_GBK" w:hAnsi="方正仿宋_GBK" w:eastAsia="方正仿宋_GBK" w:cs="方正仿宋_GBK"/>
          <w:b w:val="0"/>
          <w:bCs w:val="0"/>
          <w:color w:val="000000" w:themeColor="text1"/>
          <w:kern w:val="0"/>
          <w:szCs w:val="21"/>
          <w:highlight w:val="none"/>
          <w14:textFill>
            <w14:solidFill>
              <w14:schemeClr w14:val="tx1"/>
            </w14:solidFill>
          </w14:textFill>
        </w:rPr>
        <w:t>。</w:t>
      </w:r>
    </w:p>
    <w:p>
      <w:pPr>
        <w:pStyle w:val="7"/>
        <w:spacing w:line="440" w:lineRule="exact"/>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pPr>
      <w:bookmarkStart w:id="603" w:name="_Toc15758"/>
      <w:bookmarkStart w:id="604" w:name="_Toc20378"/>
      <w:bookmarkStart w:id="605" w:name="_Toc4400"/>
      <w:bookmarkStart w:id="606" w:name="_Toc27279"/>
      <w:bookmarkStart w:id="607" w:name="_Toc14440"/>
      <w:r>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t>六、采购标的的验收标准；</w:t>
      </w:r>
      <w:bookmarkEnd w:id="603"/>
      <w:bookmarkEnd w:id="604"/>
      <w:bookmarkEnd w:id="605"/>
      <w:bookmarkEnd w:id="606"/>
      <w:bookmarkEnd w:id="607"/>
    </w:p>
    <w:p>
      <w:pPr>
        <w:widowControl/>
        <w:spacing w:line="440" w:lineRule="exact"/>
        <w:ind w:firstLine="420" w:firstLineChars="200"/>
        <w:jc w:val="left"/>
        <w:rPr>
          <w:rFonts w:hint="eastAsia" w:ascii="方正仿宋_GBK" w:hAnsi="方正仿宋_GBK" w:eastAsia="方正仿宋_GBK" w:cs="方正仿宋_GBK"/>
          <w:color w:val="000000" w:themeColor="text1"/>
          <w:kern w:val="0"/>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项目验收应严格按照政府采购相关法律法规</w:t>
      </w:r>
      <w:r>
        <w:rPr>
          <w:rFonts w:hint="eastAsia" w:ascii="方正仿宋_GBK" w:hAnsi="方正仿宋_GBK" w:eastAsia="方正仿宋_GBK" w:cs="方正仿宋_GBK"/>
          <w:color w:val="000000" w:themeColor="text1"/>
          <w:kern w:val="0"/>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kern w:val="0"/>
          <w:szCs w:val="21"/>
          <w:highlight w:val="none"/>
          <w:lang w:val="en-US" w:eastAsia="zh-CN"/>
          <w14:textFill>
            <w14:solidFill>
              <w14:schemeClr w14:val="tx1"/>
            </w14:solidFill>
          </w14:textFill>
        </w:rPr>
        <w:t>省数据局政务信息化服务类项目验收要求</w:t>
      </w: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以及《云南省政府采购管理暂行办法》相关要求进行验收。验收工作由采购人组织的业内专家评审，严格按照合同约定的情况执行。</w:t>
      </w:r>
    </w:p>
    <w:p>
      <w:pPr>
        <w:pStyle w:val="7"/>
        <w:spacing w:line="440" w:lineRule="exact"/>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pPr>
      <w:bookmarkStart w:id="608" w:name="_Toc11178"/>
      <w:bookmarkStart w:id="609" w:name="_Toc5438"/>
      <w:bookmarkStart w:id="610" w:name="_Toc30417"/>
      <w:bookmarkStart w:id="611" w:name="_Toc9294"/>
      <w:bookmarkStart w:id="612" w:name="_Toc31588"/>
      <w:r>
        <w:rPr>
          <w:rFonts w:hint="eastAsia" w:ascii="方正仿宋_GBK" w:hAnsi="方正仿宋_GBK" w:eastAsia="方正仿宋_GBK" w:cs="方正仿宋_GBK"/>
          <w:color w:val="000000" w:themeColor="text1"/>
          <w:sz w:val="21"/>
          <w:szCs w:val="16"/>
          <w:highlight w:val="none"/>
          <w:lang w:val="en-US"/>
          <w14:textFill>
            <w14:solidFill>
              <w14:schemeClr w14:val="tx1"/>
            </w14:solidFill>
          </w14:textFill>
        </w:rPr>
        <w:t>七、采购标的的其他技术、服务等要求。</w:t>
      </w:r>
      <w:bookmarkEnd w:id="608"/>
      <w:bookmarkEnd w:id="609"/>
      <w:bookmarkEnd w:id="610"/>
      <w:bookmarkEnd w:id="611"/>
      <w:bookmarkEnd w:id="612"/>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613" w:name="_Toc16436"/>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需要提供的最后成果资料</w:t>
      </w:r>
      <w:bookmarkEnd w:id="613"/>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614" w:name="_Toc14121"/>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1.整体要求</w:t>
      </w:r>
      <w:bookmarkEnd w:id="614"/>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供应商应提供本项目所涉及改造工作部分的系统运行程序、源代码和配套改造、运维文档资料。其中系统运行程序、源代码以光盘介质的电子格式数据提交，其它成果以光盘介质和纸介质两种方式提交。供应商提供有关技术及工程过程性文档需符合软件工程规范，这些文档必须用简体中文书写或标识，且提供纸质版，电子版文档1套，纸质版和电子版文档应满足采购方档案归档要求。除了系统本身外，在本项目实施过程中，形成的所有程序供应商必须向采购方提供源代码及源代码介质，程序代码归采购方所有。</w:t>
      </w:r>
    </w:p>
    <w:p>
      <w:pPr>
        <w:keepNext/>
        <w:keepLines/>
        <w:numPr>
          <w:ilvl w:val="2"/>
          <w:numId w:val="0"/>
        </w:numPr>
        <w:spacing w:line="500" w:lineRule="exact"/>
        <w:ind w:firstLine="422" w:firstLineChars="200"/>
        <w:outlineLvl w:val="2"/>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pPr>
      <w:bookmarkStart w:id="615" w:name="_Toc26721"/>
      <w:bookmarkStart w:id="616" w:name="_Toc26064"/>
      <w:bookmarkStart w:id="617" w:name="_Toc22862"/>
      <w:bookmarkStart w:id="618" w:name="_Toc26860"/>
      <w:bookmarkStart w:id="619" w:name="_Toc25246"/>
      <w:r>
        <w:rPr>
          <w:rFonts w:hint="eastAsia" w:ascii="方正仿宋_GBK" w:hAnsi="方正仿宋_GBK" w:eastAsia="方正仿宋_GBK" w:cs="方正仿宋_GBK"/>
          <w:b/>
          <w:bCs/>
          <w:color w:val="000000" w:themeColor="text1"/>
          <w:sz w:val="21"/>
          <w:szCs w:val="21"/>
          <w:highlight w:val="none"/>
          <w:lang w:val="en-US" w:eastAsia="zh-CN"/>
          <w14:textFill>
            <w14:solidFill>
              <w14:schemeClr w14:val="tx1"/>
            </w14:solidFill>
          </w14:textFill>
        </w:rPr>
        <w:t>2.文档成果物要求</w:t>
      </w:r>
      <w:bookmarkEnd w:id="615"/>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供应商</w:t>
      </w:r>
      <w:r>
        <w:rPr>
          <w:rFonts w:hint="eastAsia" w:ascii="方正仿宋_GBK" w:hAnsi="方正仿宋_GBK" w:eastAsia="方正仿宋_GBK" w:cs="方正仿宋_GBK"/>
          <w:color w:val="000000" w:themeColor="text1"/>
          <w:szCs w:val="21"/>
          <w:highlight w:val="none"/>
          <w14:textFill>
            <w14:solidFill>
              <w14:schemeClr w14:val="tx1"/>
            </w14:solidFill>
          </w14:textFill>
        </w:rPr>
        <w:t>应提供的文档成果，包括但不限于：</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Cs w:val="21"/>
          <w:highlight w:val="none"/>
          <w14:textFill>
            <w14:solidFill>
              <w14:schemeClr w14:val="tx1"/>
            </w14:solidFill>
          </w14:textFill>
        </w:rPr>
        <w:t>）项目</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运行维护</w:t>
      </w:r>
      <w:r>
        <w:rPr>
          <w:rFonts w:hint="eastAsia" w:ascii="方正仿宋_GBK" w:hAnsi="方正仿宋_GBK" w:eastAsia="方正仿宋_GBK" w:cs="方正仿宋_GBK"/>
          <w:color w:val="000000" w:themeColor="text1"/>
          <w:szCs w:val="21"/>
          <w:highlight w:val="none"/>
          <w14:textFill>
            <w14:solidFill>
              <w14:schemeClr w14:val="tx1"/>
            </w14:solidFill>
          </w14:textFill>
        </w:rPr>
        <w:t>方案；</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2</w:t>
      </w: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项目运行维护工作总结</w:t>
      </w:r>
      <w:r>
        <w:rPr>
          <w:rFonts w:hint="eastAsia" w:ascii="方正仿宋_GBK" w:hAnsi="方正仿宋_GBK" w:eastAsia="方正仿宋_GBK" w:cs="方正仿宋_GBK"/>
          <w:color w:val="000000" w:themeColor="text1"/>
          <w:szCs w:val="21"/>
          <w:highlight w:val="none"/>
          <w14:textFill>
            <w14:solidFill>
              <w14:schemeClr w14:val="tx1"/>
            </w14:solidFill>
          </w14:textFill>
        </w:rPr>
        <w:t>报告；</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3</w:t>
      </w:r>
      <w:r>
        <w:rPr>
          <w:rFonts w:hint="eastAsia" w:ascii="方正仿宋_GBK" w:hAnsi="方正仿宋_GBK" w:eastAsia="方正仿宋_GBK" w:cs="方正仿宋_GBK"/>
          <w:color w:val="000000" w:themeColor="text1"/>
          <w:szCs w:val="21"/>
          <w:highlight w:val="none"/>
          <w14:textFill>
            <w14:solidFill>
              <w14:schemeClr w14:val="tx1"/>
            </w14:solidFill>
          </w14:textFill>
        </w:rPr>
        <w:t>）涉及系统改造的，提供系统运行程序、及其开发源代码；</w:t>
      </w:r>
    </w:p>
    <w:p>
      <w:pPr>
        <w:spacing w:line="440" w:lineRule="exact"/>
        <w:ind w:firstLine="420" w:firstLineChars="20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4</w:t>
      </w:r>
      <w:r>
        <w:rPr>
          <w:rFonts w:hint="eastAsia" w:ascii="方正仿宋_GBK" w:hAnsi="方正仿宋_GBK" w:eastAsia="方正仿宋_GBK" w:cs="方正仿宋_GBK"/>
          <w:color w:val="000000" w:themeColor="text1"/>
          <w:szCs w:val="21"/>
          <w:highlight w:val="none"/>
          <w14:textFill>
            <w14:solidFill>
              <w14:schemeClr w14:val="tx1"/>
            </w14:solidFill>
          </w14:textFill>
        </w:rPr>
        <w:t>）运维</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记录表</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巡检</w:t>
      </w:r>
      <w:r>
        <w:rPr>
          <w:rFonts w:hint="eastAsia" w:ascii="方正仿宋_GBK" w:hAnsi="方正仿宋_GBK" w:eastAsia="方正仿宋_GBK" w:cs="方正仿宋_GBK"/>
          <w:color w:val="000000" w:themeColor="text1"/>
          <w:szCs w:val="21"/>
          <w:highlight w:val="none"/>
          <w14:textFill>
            <w14:solidFill>
              <w14:schemeClr w14:val="tx1"/>
            </w14:solidFill>
          </w14:textFill>
        </w:rPr>
        <w:t>记录表。</w:t>
      </w:r>
    </w:p>
    <w:p>
      <w:pP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br w:type="page"/>
      </w:r>
    </w:p>
    <w:p>
      <w:pPr>
        <w:widowControl/>
        <w:spacing w:line="360" w:lineRule="auto"/>
        <w:ind w:firstLine="422" w:firstLineChars="200"/>
        <w:jc w:val="left"/>
        <w:rPr>
          <w:rFonts w:hint="eastAsia" w:ascii="方正仿宋_GBK" w:hAnsi="方正仿宋_GBK" w:eastAsia="方正仿宋_GBK" w:cs="方正仿宋_GBK"/>
          <w:b/>
          <w:bCs/>
          <w:color w:val="000000" w:themeColor="text1"/>
          <w:kern w:val="0"/>
          <w:szCs w:val="21"/>
          <w:highlight w:val="none"/>
          <w14:textFill>
            <w14:solidFill>
              <w14:schemeClr w14:val="tx1"/>
            </w14:solidFill>
          </w14:textFill>
        </w:rPr>
        <w:sectPr>
          <w:footerReference r:id="rId6" w:type="default"/>
          <w:pgSz w:w="11906" w:h="16838"/>
          <w:pgMar w:top="1440" w:right="1800" w:bottom="1440" w:left="1800" w:header="851" w:footer="992" w:gutter="0"/>
          <w:cols w:space="425" w:num="1"/>
          <w:docGrid w:type="lines" w:linePitch="312" w:charSpace="0"/>
        </w:sectPr>
      </w:pPr>
    </w:p>
    <w:p>
      <w:pPr>
        <w:pStyle w:val="5"/>
        <w:spacing w:line="440" w:lineRule="exact"/>
        <w:rPr>
          <w:rFonts w:hint="eastAsia" w:ascii="方正仿宋_GBK" w:hAnsi="方正仿宋_GBK" w:eastAsia="方正仿宋_GBK" w:cs="方正仿宋_GBK"/>
          <w:color w:val="000000" w:themeColor="text1"/>
          <w:highlight w:val="none"/>
          <w:lang w:val="en-US"/>
          <w14:textFill>
            <w14:solidFill>
              <w14:schemeClr w14:val="tx1"/>
            </w14:solidFill>
          </w14:textFill>
        </w:rPr>
      </w:pPr>
      <w:bookmarkStart w:id="620" w:name="_Toc9246"/>
      <w:r>
        <w:rPr>
          <w:rFonts w:hint="eastAsia" w:ascii="方正仿宋_GBK" w:hAnsi="方正仿宋_GBK" w:eastAsia="方正仿宋_GBK" w:cs="方正仿宋_GBK"/>
          <w:color w:val="000000" w:themeColor="text1"/>
          <w:highlight w:val="none"/>
          <w:lang w:val="en-US"/>
          <w14:textFill>
            <w14:solidFill>
              <w14:schemeClr w14:val="tx1"/>
            </w14:solidFill>
          </w14:textFill>
        </w:rPr>
        <w:t>第六章 评标方法（综合评分法）</w:t>
      </w:r>
      <w:bookmarkEnd w:id="561"/>
      <w:bookmarkEnd w:id="616"/>
      <w:bookmarkEnd w:id="617"/>
      <w:bookmarkEnd w:id="618"/>
      <w:bookmarkEnd w:id="619"/>
      <w:bookmarkEnd w:id="620"/>
    </w:p>
    <w:bookmarkEnd w:id="562"/>
    <w:bookmarkEnd w:id="563"/>
    <w:p>
      <w:pPr>
        <w:spacing w:before="100" w:beforeAutospacing="1" w:after="100" w:afterAutospacing="1" w:line="440" w:lineRule="exact"/>
        <w:jc w:val="cente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bookmarkStart w:id="621" w:name="_Toc488633639"/>
      <w:bookmarkStart w:id="622" w:name="_Toc489145774"/>
      <w:bookmarkStart w:id="623" w:name="_Toc489197878"/>
      <w:bookmarkStart w:id="624" w:name="_Toc480817655"/>
      <w:bookmarkStart w:id="625" w:name="_Toc979"/>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评标方法前附表</w:t>
      </w:r>
      <w:bookmarkEnd w:id="621"/>
      <w:bookmarkEnd w:id="622"/>
      <w:bookmarkEnd w:id="623"/>
    </w:p>
    <w:tbl>
      <w:tblPr>
        <w:tblStyle w:val="41"/>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029"/>
        <w:gridCol w:w="1758"/>
        <w:gridCol w:w="5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exact"/>
          <w:tblHeader/>
          <w:jc w:val="center"/>
        </w:trPr>
        <w:tc>
          <w:tcPr>
            <w:tcW w:w="1839" w:type="dxa"/>
            <w:gridSpan w:val="2"/>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条款号</w:t>
            </w: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 审 内 容</w:t>
            </w:r>
          </w:p>
        </w:tc>
        <w:tc>
          <w:tcPr>
            <w:tcW w:w="5319"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exact"/>
          <w:jc w:val="center"/>
        </w:trPr>
        <w:tc>
          <w:tcPr>
            <w:tcW w:w="810"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2.1.1</w:t>
            </w:r>
          </w:p>
        </w:tc>
        <w:tc>
          <w:tcPr>
            <w:tcW w:w="1029"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资格审查标准</w:t>
            </w: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资格条件</w:t>
            </w:r>
          </w:p>
        </w:tc>
        <w:tc>
          <w:tcPr>
            <w:tcW w:w="5319" w:type="dxa"/>
            <w:vAlign w:val="center"/>
          </w:tcPr>
          <w:p>
            <w:pPr>
              <w:spacing w:before="100" w:beforeAutospacing="1" w:after="100" w:afterAutospacing="1"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10" w:type="dxa"/>
            <w:vMerge w:val="restart"/>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2.1.2</w:t>
            </w:r>
          </w:p>
        </w:tc>
        <w:tc>
          <w:tcPr>
            <w:tcW w:w="1029" w:type="dxa"/>
            <w:vMerge w:val="restart"/>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符合性审查</w:t>
            </w: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pacing w:val="10"/>
                <w:sz w:val="24"/>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投标有效期</w:t>
            </w:r>
          </w:p>
        </w:tc>
        <w:tc>
          <w:tcPr>
            <w:tcW w:w="5319" w:type="dxa"/>
            <w:vAlign w:val="center"/>
          </w:tcPr>
          <w:p>
            <w:pPr>
              <w:spacing w:before="100" w:beforeAutospacing="1" w:after="100" w:afterAutospacing="1"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符合第二章《投标人须知前附表》第17.1项规定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810"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投标报价表</w:t>
            </w:r>
          </w:p>
        </w:tc>
        <w:tc>
          <w:tcPr>
            <w:tcW w:w="5319" w:type="dxa"/>
            <w:vAlign w:val="center"/>
          </w:tcPr>
          <w:p>
            <w:pPr>
              <w:spacing w:before="100" w:beforeAutospacing="1" w:after="100" w:afterAutospacing="1"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符合第四章《投标文件格式》中规定的格式及内容，提供开标一览表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0"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投标函</w:t>
            </w:r>
          </w:p>
        </w:tc>
        <w:tc>
          <w:tcPr>
            <w:tcW w:w="5319" w:type="dxa"/>
            <w:vAlign w:val="center"/>
          </w:tcPr>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符合第四章《投标文件格式》中规定的格式及内容，有法定代表人或委托代理人签章，并加盖电子公章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810"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投标报价</w:t>
            </w:r>
          </w:p>
        </w:tc>
        <w:tc>
          <w:tcPr>
            <w:tcW w:w="5319" w:type="dxa"/>
            <w:vAlign w:val="center"/>
          </w:tcPr>
          <w:p>
            <w:pPr>
              <w:spacing w:before="100" w:beforeAutospacing="1" w:after="100" w:afterAutospacing="1"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未超过采购预算，未出现缺项、漏项，对所投标段内所有内容作出完整唯一的投标报价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10"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kern w:val="0"/>
                <w:szCs w:val="21"/>
                <w:highlight w:val="none"/>
                <w14:textFill>
                  <w14:solidFill>
                    <w14:schemeClr w14:val="tx1"/>
                  </w14:solidFill>
                </w14:textFill>
              </w:rPr>
              <w:t>投标文件的签署</w:t>
            </w:r>
          </w:p>
        </w:tc>
        <w:tc>
          <w:tcPr>
            <w:tcW w:w="5319" w:type="dxa"/>
            <w:vAlign w:val="center"/>
          </w:tcPr>
          <w:p>
            <w:pPr>
              <w:spacing w:before="100" w:beforeAutospacing="1" w:after="100" w:afterAutospacing="1"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10"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法定代表人身份证明书</w:t>
            </w:r>
          </w:p>
        </w:tc>
        <w:tc>
          <w:tcPr>
            <w:tcW w:w="5319" w:type="dxa"/>
            <w:vAlign w:val="center"/>
          </w:tcPr>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810"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法人授权委托书</w:t>
            </w:r>
          </w:p>
        </w:tc>
        <w:tc>
          <w:tcPr>
            <w:tcW w:w="5319" w:type="dxa"/>
            <w:vAlign w:val="center"/>
          </w:tcPr>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jc w:val="center"/>
        </w:trPr>
        <w:tc>
          <w:tcPr>
            <w:tcW w:w="810"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before="100" w:beforeAutospacing="1" w:after="100" w:afterAutospacing="1"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before="100" w:beforeAutospacing="1" w:after="100" w:afterAutospacing="1"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其他实质性要求</w:t>
            </w:r>
          </w:p>
        </w:tc>
        <w:tc>
          <w:tcPr>
            <w:tcW w:w="5319" w:type="dxa"/>
            <w:vAlign w:val="center"/>
          </w:tcPr>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1.投标文件未出现其他不满足招标文件中标注★条款内容；</w:t>
            </w:r>
          </w:p>
          <w:p>
            <w:pPr>
              <w:spacing w:line="440" w:lineRule="exact"/>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2.投标文件未出现其他招标文件中规定导致投标文件无效的情形。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exact"/>
          <w:jc w:val="center"/>
        </w:trPr>
        <w:tc>
          <w:tcPr>
            <w:tcW w:w="810" w:type="dxa"/>
            <w:vMerge w:val="restart"/>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w:t>
            </w:r>
          </w:p>
        </w:tc>
        <w:tc>
          <w:tcPr>
            <w:tcW w:w="1029" w:type="dxa"/>
            <w:vMerge w:val="restart"/>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详细评审标准</w:t>
            </w: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（1）评标总得分计算公式</w:t>
            </w:r>
          </w:p>
        </w:tc>
        <w:tc>
          <w:tcPr>
            <w:tcW w:w="5319" w:type="dxa"/>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投标人的评标总得分＝F1＋F2</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其中：F1、F2分别为投标报价、商务</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及</w:t>
            </w:r>
            <w:r>
              <w:rPr>
                <w:rFonts w:hint="eastAsia" w:ascii="方正仿宋_GBK" w:hAnsi="方正仿宋_GBK" w:eastAsia="方正仿宋_GBK" w:cs="方正仿宋_GBK"/>
                <w:color w:val="000000" w:themeColor="text1"/>
                <w:szCs w:val="21"/>
                <w:highlight w:val="none"/>
                <w14:textFill>
                  <w14:solidFill>
                    <w14:schemeClr w14:val="tx1"/>
                  </w14:solidFill>
                </w14:textFill>
              </w:rPr>
              <w:t>技术部分评分因素的汇总得分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exact"/>
          <w:jc w:val="center"/>
        </w:trPr>
        <w:tc>
          <w:tcPr>
            <w:tcW w:w="810" w:type="dxa"/>
            <w:vMerge w:val="continue"/>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（2）评分因素权重</w:t>
            </w:r>
          </w:p>
        </w:tc>
        <w:tc>
          <w:tcPr>
            <w:tcW w:w="5319" w:type="dxa"/>
            <w:vAlign w:val="center"/>
          </w:tcPr>
          <w:p>
            <w:pPr>
              <w:spacing w:line="440" w:lineRule="exact"/>
              <w:ind w:left="1258" w:hanging="1258"/>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投标报价F1: 10分</w:t>
            </w:r>
          </w:p>
          <w:p>
            <w:pPr>
              <w:spacing w:line="440" w:lineRule="exact"/>
              <w:ind w:left="1258" w:hanging="1258"/>
              <w:rPr>
                <w:rFonts w:hint="eastAsia" w:ascii="方正仿宋_GBK" w:hAnsi="方正仿宋_GBK" w:eastAsia="方正仿宋_GBK" w:cs="方正仿宋_GBK"/>
                <w:b/>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商务</w:t>
            </w:r>
            <w:r>
              <w:rPr>
                <w:rFonts w:hint="eastAsia" w:ascii="方正仿宋_GBK" w:hAnsi="方正仿宋_GBK" w:eastAsia="方正仿宋_GBK" w:cs="方正仿宋_GBK"/>
                <w:b/>
                <w:color w:val="000000" w:themeColor="text1"/>
                <w:szCs w:val="21"/>
                <w:highlight w:val="none"/>
                <w:lang w:val="en-US" w:eastAsia="zh-CN"/>
                <w14:textFill>
                  <w14:solidFill>
                    <w14:schemeClr w14:val="tx1"/>
                  </w14:solidFill>
                </w14:textFill>
              </w:rPr>
              <w:t>及</w:t>
            </w:r>
            <w:r>
              <w:rPr>
                <w:rFonts w:hint="eastAsia" w:ascii="方正仿宋_GBK" w:hAnsi="方正仿宋_GBK" w:eastAsia="方正仿宋_GBK" w:cs="方正仿宋_GBK"/>
                <w:b/>
                <w:color w:val="000000" w:themeColor="text1"/>
                <w:szCs w:val="21"/>
                <w:highlight w:val="none"/>
                <w14:textFill>
                  <w14:solidFill>
                    <w14:schemeClr w14:val="tx1"/>
                  </w14:solidFill>
                </w14:textFill>
              </w:rPr>
              <w:t xml:space="preserve">技术部分F2: </w:t>
            </w:r>
            <w:r>
              <w:rPr>
                <w:rFonts w:hint="eastAsia" w:ascii="方正仿宋_GBK" w:hAnsi="方正仿宋_GBK" w:eastAsia="方正仿宋_GBK" w:cs="方正仿宋_GBK"/>
                <w:b/>
                <w:color w:val="000000" w:themeColor="text1"/>
                <w:szCs w:val="21"/>
                <w:highlight w:val="none"/>
                <w:lang w:val="en-US" w:eastAsia="zh-CN"/>
                <w14:textFill>
                  <w14:solidFill>
                    <w14:schemeClr w14:val="tx1"/>
                  </w14:solidFill>
                </w14:textFill>
              </w:rPr>
              <w:t>9</w:t>
            </w:r>
            <w:r>
              <w:rPr>
                <w:rFonts w:hint="eastAsia" w:ascii="方正仿宋_GBK" w:hAnsi="方正仿宋_GBK" w:eastAsia="方正仿宋_GBK" w:cs="方正仿宋_GBK"/>
                <w:b/>
                <w:color w:val="000000" w:themeColor="text1"/>
                <w:szCs w:val="21"/>
                <w:highlight w:val="none"/>
                <w14:textFill>
                  <w14:solidFill>
                    <w14:schemeClr w14:val="tx1"/>
                  </w14:solidFill>
                </w14:textFill>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7" w:hRule="atLeast"/>
          <w:jc w:val="center"/>
        </w:trPr>
        <w:tc>
          <w:tcPr>
            <w:tcW w:w="810" w:type="dxa"/>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2.2.1 (1)</w:t>
            </w:r>
          </w:p>
        </w:tc>
        <w:tc>
          <w:tcPr>
            <w:tcW w:w="1029"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F1-投标报价评审（满分10）</w:t>
            </w: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投标总报价</w:t>
            </w:r>
          </w:p>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（满分10分）</w:t>
            </w:r>
          </w:p>
        </w:tc>
        <w:tc>
          <w:tcPr>
            <w:tcW w:w="5319" w:type="dxa"/>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投标报价计算公式=评标基准价/投标报价×10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即：F1=[C/（B1，B2，…，Bn）]×10</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注：C为评标基准价，即实质性要求审查合格且投标价格最低的有效投标报价；</w:t>
            </w: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B1，B2，…，Bn为第n个经初步审查合格的有效投标报价。</w:t>
            </w:r>
          </w:p>
          <w:p>
            <w:pPr>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本项目为专门面向中小微企业采购的项目。投标人为小微企业或监狱企业或残疾人福利性单位的，不再执行价格评审优惠的扶持政策。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restart"/>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2.2.1（2）</w:t>
            </w:r>
          </w:p>
        </w:tc>
        <w:tc>
          <w:tcPr>
            <w:tcW w:w="1029" w:type="dxa"/>
            <w:vMerge w:val="restart"/>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F2-商务</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及</w:t>
            </w:r>
            <w:r>
              <w:rPr>
                <w:rFonts w:hint="eastAsia" w:ascii="方正仿宋_GBK" w:hAnsi="方正仿宋_GBK" w:eastAsia="方正仿宋_GBK" w:cs="方正仿宋_GBK"/>
                <w:color w:val="000000" w:themeColor="text1"/>
                <w:szCs w:val="21"/>
                <w:highlight w:val="none"/>
                <w14:textFill>
                  <w14:solidFill>
                    <w14:schemeClr w14:val="tx1"/>
                  </w14:solidFill>
                </w14:textFill>
              </w:rPr>
              <w:t>技术部分评审（满分</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90</w:t>
            </w:r>
            <w:r>
              <w:rPr>
                <w:rFonts w:hint="eastAsia" w:ascii="方正仿宋_GBK" w:hAnsi="方正仿宋_GBK" w:eastAsia="方正仿宋_GBK" w:cs="方正仿宋_GBK"/>
                <w:color w:val="000000" w:themeColor="text1"/>
                <w:szCs w:val="21"/>
                <w:highlight w:val="none"/>
                <w14:textFill>
                  <w14:solidFill>
                    <w14:schemeClr w14:val="tx1"/>
                  </w14:solidFill>
                </w14:textFill>
              </w:rPr>
              <w:t>分）</w:t>
            </w:r>
          </w:p>
        </w:tc>
        <w:tc>
          <w:tcPr>
            <w:tcW w:w="1758" w:type="dxa"/>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项目理解、需求分析、重点、难点分析、需求响应</w:t>
            </w:r>
            <w:r>
              <w:rPr>
                <w:rFonts w:hint="eastAsia" w:ascii="方正仿宋_GBK" w:hAnsi="方正仿宋_GBK" w:eastAsia="方正仿宋_GBK" w:cs="方正仿宋_GBK"/>
                <w:color w:val="000000" w:themeColor="text1"/>
                <w:szCs w:val="21"/>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szCs w:val="21"/>
                <w:highlight w:val="none"/>
                <w14:textFill>
                  <w14:solidFill>
                    <w14:schemeClr w14:val="tx1"/>
                  </w14:solidFill>
                </w14:textFill>
              </w:rPr>
              <w:t>（满分</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15</w:t>
            </w:r>
            <w:r>
              <w:rPr>
                <w:rFonts w:hint="eastAsia" w:ascii="方正仿宋_GBK" w:hAnsi="方正仿宋_GBK" w:eastAsia="方正仿宋_GBK" w:cs="方正仿宋_GBK"/>
                <w:color w:val="000000" w:themeColor="text1"/>
                <w:szCs w:val="21"/>
                <w:highlight w:val="none"/>
                <w14:textFill>
                  <w14:solidFill>
                    <w14:schemeClr w14:val="tx1"/>
                  </w14:solidFill>
                </w14:textFill>
              </w:rPr>
              <w:t>分）</w:t>
            </w:r>
          </w:p>
        </w:tc>
        <w:tc>
          <w:tcPr>
            <w:tcW w:w="5319" w:type="dxa"/>
            <w:vAlign w:val="center"/>
          </w:tcPr>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第一档次：项目需求、项目背景、项目内容和项目范围理解分析详细明确，准确把握该项目重、难点，应对措施完善的，得15分。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第二档次：项目需求、项目背景、项目内容和项目范围理解分析一般，把握该项目重、难点到位，且有相关应对措施的，得11分。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第三档次：项目需求、项目背景、项目内容和项目范围理解分析存在缺陷，未能详细把握该项目重、难点，但有相关应对措施的，得7分。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第四档次：项目需求、项目背景、项目内容和项目范围理解分析存在缺陷，未能详细把握该项目重、难点，且没有相关应对措施的，得3分。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五</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档次：未提供此项的不得分。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pStyle w:val="20"/>
              <w:spacing w:line="440" w:lineRule="exact"/>
              <w:ind w:firstLine="0"/>
              <w:jc w:val="cente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t>2.</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服务方案</w:t>
            </w:r>
          </w:p>
          <w:p>
            <w:pPr>
              <w:pStyle w:val="20"/>
              <w:spacing w:line="440" w:lineRule="exact"/>
              <w:ind w:firstLine="0"/>
              <w:jc w:val="cente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t>（满分30分）</w:t>
            </w:r>
          </w:p>
          <w:p>
            <w:pPr>
              <w:pStyle w:val="20"/>
              <w:spacing w:line="440" w:lineRule="exact"/>
              <w:ind w:firstLine="0"/>
              <w:jc w:val="cente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pPr>
          </w:p>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5319" w:type="dxa"/>
            <w:vAlign w:val="center"/>
          </w:tcPr>
          <w:p>
            <w:pPr>
              <w:spacing w:line="440" w:lineRule="exact"/>
              <w:ind w:firstLine="422"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1.前期工作基础评分（满分10分）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第一档次：项目前期工作基础阐述完整详细、全面合理、逻辑清晰，完全针对本项目需求设置，前期工作基础能确保完全满足项目需求的得10分；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第二档次：项目前期工作基础阐述基本完整、合理，有一定的针对性、适用性，基本能满足项目需求的得7分；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第三档次：前期工作基础阐述简单、不深入，与项目需求契合度低，基本满足项目需求的得4分；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第四档次：项目前期工作基础阐述欠缺、不合理，与项目需求契合度低，仅部分满足项目需求的得1分；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第五档次：前期工作基础内容不合理、与项目需求无关，不能满足项目需求，未提供说明的不得分。</w:t>
            </w:r>
          </w:p>
          <w:p>
            <w:pPr>
              <w:spacing w:line="440" w:lineRule="exact"/>
              <w:ind w:firstLine="422" w:firstLineChars="200"/>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2.技术服务方案包括:</w:t>
            </w:r>
          </w:p>
          <w:p>
            <w:pPr>
              <w:spacing w:line="440" w:lineRule="exact"/>
              <w:ind w:firstLine="422" w:firstLineChars="200"/>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lang w:val="en-US" w:eastAsia="zh-CN"/>
                <w14:textFill>
                  <w14:solidFill>
                    <w14:schemeClr w14:val="tx1"/>
                  </w14:solidFill>
                </w14:textFill>
              </w:rPr>
              <w:t>针对部署于自然资源专网中的地质灾害隐患识别综合系统三维可视化平台、地质灾害隐患识别等模块进行运行维护；针对部署于互联网中的隐患识别一张图模块功能进行优化，对系统管理模块进行运行维护；针对于2021年购置的GAMMA软件进行软件更新及功能升级</w:t>
            </w: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。（满分15分）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第一档次：服务方案内容科学、详细，有完整的规划和保障措施，逻辑清晰，详细可行，完全针对本项目需求设置，能确保完全满足项目需求的得15分；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第二档次：服务方案内容合理，规划和保障措施合理，有一定的可行性、针对性、适用性，基本能满足项目需求的得11分；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第三档次：服务方案内容简单，规划和保障措施简单，</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能</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部分满足项目需求的得7分；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第四档次：服务方案内容简单，规划和保障措施欠缺、不完整，部分满足项目需求的得3分；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第五档次：服务方案内容不合理，规划和保障措施不合理，不能满足项目需求，未提供说明的不得分。</w:t>
            </w:r>
          </w:p>
          <w:p>
            <w:pPr>
              <w:spacing w:line="440" w:lineRule="exact"/>
              <w:ind w:firstLine="422"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3.运维驻场服务方案（满分5分）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第一档次：运维驻场服务方案内容完整、针对性强，能够满足项目需求的得5分；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第二档次：运维驻场服务方案内容基本完整、有针对，基本能够满足项目需求的得3分；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第三档次：运维驻场服务方案内容缺乏针性，不能满足项目需求的得1分；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第四档次：未提交运维驻场服务方案不得分。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2"/>
                <w:szCs w:val="22"/>
                <w:highlight w:val="none"/>
                <w14:textFill>
                  <w14:solidFill>
                    <w14:schemeClr w14:val="tx1"/>
                  </w14:solidFill>
                </w14:textFill>
              </w:rPr>
              <w:t>3.</w:t>
            </w:r>
            <w:r>
              <w:rPr>
                <w:rFonts w:hint="eastAsia" w:ascii="方正仿宋_GBK" w:hAnsi="方正仿宋_GBK" w:eastAsia="方正仿宋_GBK" w:cs="方正仿宋_GBK"/>
                <w:color w:val="000000" w:themeColor="text1"/>
                <w:sz w:val="22"/>
                <w:szCs w:val="22"/>
                <w:highlight w:val="none"/>
                <w:lang w:eastAsia="zh-CN"/>
                <w14:textFill>
                  <w14:solidFill>
                    <w14:schemeClr w14:val="tx1"/>
                  </w14:solidFill>
                </w14:textFill>
              </w:rPr>
              <w:t>进度计划及保证措施</w:t>
            </w:r>
            <w:r>
              <w:rPr>
                <w:rFonts w:hint="eastAsia" w:ascii="方正仿宋_GBK" w:hAnsi="方正仿宋_GBK" w:eastAsia="方正仿宋_GBK" w:cs="方正仿宋_GBK"/>
                <w:color w:val="000000" w:themeColor="text1"/>
                <w:sz w:val="22"/>
                <w:szCs w:val="22"/>
                <w:highlight w:val="none"/>
                <w14:textFill>
                  <w14:solidFill>
                    <w14:schemeClr w14:val="tx1"/>
                  </w14:solidFill>
                </w14:textFill>
              </w:rPr>
              <w:t>（满分10分）</w:t>
            </w:r>
          </w:p>
        </w:tc>
        <w:tc>
          <w:tcPr>
            <w:tcW w:w="5319" w:type="dxa"/>
            <w:vAlign w:val="center"/>
          </w:tcPr>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第一档次：进度计划完整、合理，符合实际，对完成本项目有详细、合理的时间计划、进度安排和保障措施，保证措施</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科学</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有力，能够很好的满足项目需求的得10分；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第二档次：进度计划基本完整、合理，有保证措施，基本能满足项目需求的得7分；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第三档次：进度计划不完整，合理性欠缺，无保证措施，仅能满足部分项目需求的得4分；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第四档次：进度计划不完整不合理，无保证措施，不能满足项目需求的得1分；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第五档次：无进度计划及保证措施的不得分。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spacing w:line="440" w:lineRule="exac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4.</w:t>
            </w:r>
            <w:r>
              <w:rPr>
                <w:rFonts w:hint="eastAsia" w:ascii="方正仿宋_GBK" w:hAnsi="方正仿宋_GBK" w:eastAsia="方正仿宋_GBK" w:cs="方正仿宋_GBK"/>
                <w:color w:val="000000" w:themeColor="text1"/>
                <w:szCs w:val="21"/>
                <w:highlight w:val="none"/>
                <w:lang w:eastAsia="zh-CN"/>
                <w14:textFill>
                  <w14:solidFill>
                    <w14:schemeClr w14:val="tx1"/>
                  </w14:solidFill>
                </w14:textFill>
              </w:rPr>
              <w:t>应急方案及保障措施</w:t>
            </w:r>
            <w:r>
              <w:rPr>
                <w:rFonts w:hint="eastAsia" w:ascii="方正仿宋_GBK" w:hAnsi="方正仿宋_GBK" w:eastAsia="方正仿宋_GBK" w:cs="方正仿宋_GBK"/>
                <w:color w:val="000000" w:themeColor="text1"/>
                <w:szCs w:val="21"/>
                <w:highlight w:val="none"/>
                <w14:textFill>
                  <w14:solidFill>
                    <w14:schemeClr w14:val="tx1"/>
                  </w14:solidFill>
                </w14:textFill>
              </w:rPr>
              <w:t>（满分10分）</w:t>
            </w:r>
          </w:p>
        </w:tc>
        <w:tc>
          <w:tcPr>
            <w:tcW w:w="5319" w:type="dxa"/>
            <w:vAlign w:val="center"/>
          </w:tcPr>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第一档次：应急预案的描述完整详细、表述清晰、切实可行，优于项目需求，且针对应急预案制定了合理可行的保障措施的，得10分；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第二档次：应急预案的描述不够完整，基本满足项目需求的，且有相应保障措施的，得6分；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第三档次：应急预案的描述有缺陷或不可行，难以满足项目需求的，但无相应保障措施的，得3分；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四</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档次：未提供此项的不得分。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pStyle w:val="20"/>
              <w:spacing w:line="440" w:lineRule="exact"/>
              <w:ind w:firstLine="0"/>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t>5.</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服务质量承诺</w:t>
            </w:r>
            <w:r>
              <w:rPr>
                <w:rFonts w:hint="eastAsia" w:ascii="方正仿宋_GBK" w:hAnsi="方正仿宋_GBK" w:eastAsia="方正仿宋_GBK" w:cs="方正仿宋_GBK"/>
                <w:color w:val="000000" w:themeColor="text1"/>
                <w:szCs w:val="21"/>
                <w:highlight w:val="none"/>
                <w14:textFill>
                  <w14:solidFill>
                    <w14:schemeClr w14:val="tx1"/>
                  </w14:solidFill>
                </w14:textFill>
              </w:rPr>
              <w:br w:type="textWrapping"/>
            </w:r>
            <w:r>
              <w:rPr>
                <w:rFonts w:hint="eastAsia" w:ascii="方正仿宋_GBK" w:hAnsi="方正仿宋_GBK" w:eastAsia="方正仿宋_GBK" w:cs="方正仿宋_GBK"/>
                <w:color w:val="000000" w:themeColor="text1"/>
                <w:szCs w:val="21"/>
                <w:highlight w:val="none"/>
                <w14:textFill>
                  <w14:solidFill>
                    <w14:schemeClr w14:val="tx1"/>
                  </w14:solidFill>
                </w14:textFill>
              </w:rPr>
              <w:t>（满分</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10</w:t>
            </w:r>
            <w:r>
              <w:rPr>
                <w:rFonts w:hint="eastAsia" w:ascii="方正仿宋_GBK" w:hAnsi="方正仿宋_GBK" w:eastAsia="方正仿宋_GBK" w:cs="方正仿宋_GBK"/>
                <w:color w:val="000000" w:themeColor="text1"/>
                <w:szCs w:val="21"/>
                <w:highlight w:val="none"/>
                <w14:textFill>
                  <w14:solidFill>
                    <w14:schemeClr w14:val="tx1"/>
                  </w14:solidFill>
                </w14:textFill>
              </w:rPr>
              <w:t>分）</w:t>
            </w:r>
          </w:p>
        </w:tc>
        <w:tc>
          <w:tcPr>
            <w:tcW w:w="5319" w:type="dxa"/>
            <w:vAlign w:val="center"/>
          </w:tcPr>
          <w:p>
            <w:pPr>
              <w:spacing w:line="440" w:lineRule="exact"/>
              <w:ind w:firstLine="422" w:firstLineChars="200"/>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1.质量承诺、后续服务方案（满分5分）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第一档次：投标人针对本项目有完善的质量承诺、后续服务方案及服务人员，有详细的保证措施，完全满足采购人实际需求的得5分；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第二档次：投标人针对本项目有质量承诺、后续服务方案及服务人员，有保证措施但不具体的，基本满足采购人实际需求的得3分；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第三档次：针对本项目质量承诺简略、后续服务方案、服务人员不完善的得1分；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第四档次：没有质量承诺、后续服务方案及服务人员的不得分。</w:t>
            </w:r>
          </w:p>
          <w:p>
            <w:pPr>
              <w:spacing w:line="440" w:lineRule="exact"/>
              <w:ind w:firstLine="422" w:firstLineChars="200"/>
              <w:rPr>
                <w:rFonts w:hint="eastAsia" w:ascii="方正仿宋_GBK" w:hAnsi="方正仿宋_GBK" w:eastAsia="方正仿宋_GBK" w:cs="方正仿宋_GBK"/>
                <w:b/>
                <w:bCs/>
                <w:color w:val="000000" w:themeColor="text1"/>
                <w:szCs w:val="21"/>
                <w:highlight w:val="none"/>
                <w14:textFill>
                  <w14:solidFill>
                    <w14:schemeClr w14:val="tx1"/>
                  </w14:solidFill>
                </w14:textFill>
              </w:rPr>
            </w:pPr>
            <w:r>
              <w:rPr>
                <w:rFonts w:hint="eastAsia" w:ascii="方正仿宋_GBK" w:hAnsi="方正仿宋_GBK" w:eastAsia="方正仿宋_GBK" w:cs="方正仿宋_GBK"/>
                <w:b/>
                <w:bCs/>
                <w:color w:val="000000" w:themeColor="text1"/>
                <w:szCs w:val="21"/>
                <w:highlight w:val="none"/>
                <w14:textFill>
                  <w14:solidFill>
                    <w14:schemeClr w14:val="tx1"/>
                  </w14:solidFill>
                </w14:textFill>
              </w:rPr>
              <w:t>2.违约承诺及响应时间（满分5分）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第一档次：有具体</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可行</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的违约责任承诺，后期响应时间及时高效，能及时为</w:t>
            </w:r>
            <w:r>
              <w:rPr>
                <w:rFonts w:hint="eastAsia" w:ascii="方正仿宋_GBK" w:hAnsi="方正仿宋_GBK" w:eastAsia="方正仿宋_GBK" w:cs="方正仿宋_GBK"/>
                <w:b w:val="0"/>
                <w:bCs w:val="0"/>
                <w:color w:val="000000" w:themeColor="text1"/>
                <w:szCs w:val="21"/>
                <w:highlight w:val="none"/>
                <w:lang w:eastAsia="zh-CN"/>
                <w14:textFill>
                  <w14:solidFill>
                    <w14:schemeClr w14:val="tx1"/>
                  </w14:solidFill>
                </w14:textFill>
              </w:rPr>
              <w:t>采购人</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提供有效服务的得5分；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有</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违约责任承诺但不具体，后期响应时间基本满足</w:t>
            </w:r>
            <w:r>
              <w:rPr>
                <w:rFonts w:hint="eastAsia" w:ascii="方正仿宋_GBK" w:hAnsi="方正仿宋_GBK" w:eastAsia="方正仿宋_GBK" w:cs="方正仿宋_GBK"/>
                <w:b w:val="0"/>
                <w:bCs w:val="0"/>
                <w:color w:val="000000" w:themeColor="text1"/>
                <w:szCs w:val="21"/>
                <w:highlight w:val="none"/>
                <w:lang w:eastAsia="zh-CN"/>
                <w14:textFill>
                  <w14:solidFill>
                    <w14:schemeClr w14:val="tx1"/>
                  </w14:solidFill>
                </w14:textFill>
              </w:rPr>
              <w:t>采购人</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要求，基本能为</w:t>
            </w:r>
            <w:r>
              <w:rPr>
                <w:rFonts w:hint="eastAsia" w:ascii="方正仿宋_GBK" w:hAnsi="方正仿宋_GBK" w:eastAsia="方正仿宋_GBK" w:cs="方正仿宋_GBK"/>
                <w:b w:val="0"/>
                <w:bCs w:val="0"/>
                <w:color w:val="000000" w:themeColor="text1"/>
                <w:szCs w:val="21"/>
                <w:highlight w:val="none"/>
                <w:lang w:eastAsia="zh-CN"/>
                <w14:textFill>
                  <w14:solidFill>
                    <w14:schemeClr w14:val="tx1"/>
                  </w14:solidFill>
                </w14:textFill>
              </w:rPr>
              <w:t>采购人</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提供有效服务的得3分；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第三档次：违约责任承诺简略，后期响应时间不满足</w:t>
            </w:r>
            <w:r>
              <w:rPr>
                <w:rFonts w:hint="eastAsia" w:ascii="方正仿宋_GBK" w:hAnsi="方正仿宋_GBK" w:eastAsia="方正仿宋_GBK" w:cs="方正仿宋_GBK"/>
                <w:b w:val="0"/>
                <w:bCs w:val="0"/>
                <w:color w:val="000000" w:themeColor="text1"/>
                <w:szCs w:val="21"/>
                <w:highlight w:val="none"/>
                <w:lang w:eastAsia="zh-CN"/>
                <w14:textFill>
                  <w14:solidFill>
                    <w14:schemeClr w14:val="tx1"/>
                  </w14:solidFill>
                </w14:textFill>
              </w:rPr>
              <w:t>采购人</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要求的得1分。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第四档次：没有违约责任承诺，响应时间不及时，不能为</w:t>
            </w:r>
            <w:r>
              <w:rPr>
                <w:rFonts w:hint="eastAsia" w:ascii="方正仿宋_GBK" w:hAnsi="方正仿宋_GBK" w:eastAsia="方正仿宋_GBK" w:cs="方正仿宋_GBK"/>
                <w:b w:val="0"/>
                <w:bCs w:val="0"/>
                <w:color w:val="000000" w:themeColor="text1"/>
                <w:szCs w:val="21"/>
                <w:highlight w:val="none"/>
                <w:lang w:eastAsia="zh-CN"/>
                <w14:textFill>
                  <w14:solidFill>
                    <w14:schemeClr w14:val="tx1"/>
                  </w14:solidFill>
                </w14:textFill>
              </w:rPr>
              <w:t>采购人</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提供有效服务的不得分。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pStyle w:val="20"/>
              <w:spacing w:line="440" w:lineRule="exact"/>
              <w:ind w:firstLine="0"/>
              <w:jc w:val="center"/>
              <w:rPr>
                <w:rFonts w:hint="default" w:ascii="方正仿宋_GBK" w:hAnsi="方正仿宋_GBK" w:eastAsia="方正仿宋_GBK" w:cs="方正仿宋_GBK"/>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6.保密承诺及措施（满分5分）</w:t>
            </w:r>
          </w:p>
        </w:tc>
        <w:tc>
          <w:tcPr>
            <w:tcW w:w="5319" w:type="dxa"/>
            <w:vAlign w:val="center"/>
          </w:tcPr>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第一档次：保密承诺及措施内容全面具体，措施完善，完全满足采购人实际工作需求的得5分；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第二档次：保密承诺及措施内容基本具体，措施不完善，基本满足采购人实际工作需求的得3分。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第三档次：保密承诺及措施内容不全，不满足采购人实际工作需求的得1分。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第四档次：未提交保密承诺及措施</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的</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029" w:type="dxa"/>
            <w:vMerge w:val="continue"/>
            <w:vAlign w:val="center"/>
          </w:tcPr>
          <w:p>
            <w:pPr>
              <w:spacing w:line="440" w:lineRule="exact"/>
              <w:jc w:val="center"/>
              <w:rPr>
                <w:rFonts w:hint="eastAsia" w:ascii="方正仿宋_GBK" w:hAnsi="方正仿宋_GBK" w:eastAsia="方正仿宋_GBK" w:cs="方正仿宋_GBK"/>
                <w:color w:val="000000" w:themeColor="text1"/>
                <w:szCs w:val="21"/>
                <w:highlight w:val="none"/>
                <w14:textFill>
                  <w14:solidFill>
                    <w14:schemeClr w14:val="tx1"/>
                  </w14:solidFill>
                </w14:textFill>
              </w:rPr>
            </w:pPr>
          </w:p>
        </w:tc>
        <w:tc>
          <w:tcPr>
            <w:tcW w:w="1758" w:type="dxa"/>
            <w:vAlign w:val="center"/>
          </w:tcPr>
          <w:p>
            <w:pPr>
              <w:pStyle w:val="20"/>
              <w:spacing w:line="440" w:lineRule="exact"/>
              <w:ind w:firstLine="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7</w:t>
            </w:r>
            <w:r>
              <w:rPr>
                <w:rFonts w:hint="eastAsia" w:ascii="方正仿宋_GBK" w:hAnsi="方正仿宋_GBK" w:eastAsia="方正仿宋_GBK" w:cs="方正仿宋_GBK"/>
                <w:color w:val="000000" w:themeColor="text1"/>
                <w:szCs w:val="21"/>
                <w:highlight w:val="none"/>
                <w:lang w:val="en-US"/>
                <w14:textFill>
                  <w14:solidFill>
                    <w14:schemeClr w14:val="tx1"/>
                  </w14:solidFill>
                </w14:textFill>
              </w:rPr>
              <w:t>.项目团队人员配备</w:t>
            </w:r>
            <w:r>
              <w:rPr>
                <w:rFonts w:hint="eastAsia" w:ascii="方正仿宋_GBK" w:hAnsi="方正仿宋_GBK" w:eastAsia="方正仿宋_GBK" w:cs="方正仿宋_GBK"/>
                <w:color w:val="000000" w:themeColor="text1"/>
                <w:szCs w:val="21"/>
                <w:highlight w:val="none"/>
                <w14:textFill>
                  <w14:solidFill>
                    <w14:schemeClr w14:val="tx1"/>
                  </w14:solidFill>
                </w14:textFill>
              </w:rPr>
              <w:t>（满分</w:t>
            </w:r>
            <w:r>
              <w:rPr>
                <w:rFonts w:hint="eastAsia" w:ascii="方正仿宋_GBK" w:hAnsi="方正仿宋_GBK" w:eastAsia="方正仿宋_GBK" w:cs="方正仿宋_GBK"/>
                <w:color w:val="000000" w:themeColor="text1"/>
                <w:szCs w:val="21"/>
                <w:highlight w:val="none"/>
                <w:lang w:val="en-US" w:eastAsia="zh-CN"/>
                <w14:textFill>
                  <w14:solidFill>
                    <w14:schemeClr w14:val="tx1"/>
                  </w14:solidFill>
                </w14:textFill>
              </w:rPr>
              <w:t>10</w:t>
            </w:r>
            <w:r>
              <w:rPr>
                <w:rFonts w:hint="eastAsia" w:ascii="方正仿宋_GBK" w:hAnsi="方正仿宋_GBK" w:eastAsia="方正仿宋_GBK" w:cs="方正仿宋_GBK"/>
                <w:color w:val="000000" w:themeColor="text1"/>
                <w:szCs w:val="21"/>
                <w:highlight w:val="none"/>
                <w14:textFill>
                  <w14:solidFill>
                    <w14:schemeClr w14:val="tx1"/>
                  </w14:solidFill>
                </w14:textFill>
              </w:rPr>
              <w:t>分）</w:t>
            </w:r>
          </w:p>
        </w:tc>
        <w:tc>
          <w:tcPr>
            <w:tcW w:w="5319" w:type="dxa"/>
            <w:vAlign w:val="top"/>
          </w:tcPr>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第一档次：拟派项目经理具备</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信息系统项目管理师</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证书</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、项目团队配备人员配备齐全、岗位职责分工明确，人员分配</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科学</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合理，完全符合采购人实际需求的得10分；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第二档次：拟派项目经理具备</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信息系统项目管理师</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证书、项目团队人员搭配合理、分工基本明确，符合采购人实际需求的得7分；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第三档次：拟派项目经理不具备</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信息系统项目管理师</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证书、项目团队人员搭配基本合理、分工基本明确，基本符合采购人实际需求的得4分；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第四档次：拟派项目经理不具备</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信息系统项目管理师</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证书、项目团队人员搭配不够合理、分工不明确，仅符合采购人部分需求的得1分；</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第五档次：投标文件中未列明拟派项目团队组成情况，或拟派项目团队人员搭配不合理、分工不明确，不符合采购人实际需求的。</w:t>
            </w:r>
          </w:p>
          <w:p>
            <w:pPr>
              <w:spacing w:line="440" w:lineRule="exact"/>
              <w:ind w:firstLine="420" w:firstLineChars="200"/>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pP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注：项目团队人员应</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附身份证、投标单位为其购买的社保或养老保险、</w:t>
            </w:r>
            <w:r>
              <w:rPr>
                <w:rFonts w:hint="eastAsia" w:ascii="仿宋" w:hAnsi="仿宋" w:eastAsia="仿宋" w:cs="仿宋"/>
                <w:color w:val="000000" w:themeColor="text1"/>
                <w:sz w:val="22"/>
                <w:highlight w:val="none"/>
                <w14:textFill>
                  <w14:solidFill>
                    <w14:schemeClr w14:val="tx1"/>
                  </w14:solidFill>
                </w14:textFill>
              </w:rPr>
              <w:t>证书（若有）</w:t>
            </w:r>
            <w:r>
              <w:rPr>
                <w:rFonts w:hint="eastAsia" w:ascii="方正仿宋_GBK" w:hAnsi="方正仿宋_GBK" w:eastAsia="方正仿宋_GBK" w:cs="方正仿宋_GBK"/>
                <w:b w:val="0"/>
                <w:bCs w:val="0"/>
                <w:color w:val="000000" w:themeColor="text1"/>
                <w:szCs w:val="21"/>
                <w:highlight w:val="none"/>
                <w:lang w:val="en-US" w:eastAsia="zh-CN"/>
                <w14:textFill>
                  <w14:solidFill>
                    <w14:schemeClr w14:val="tx1"/>
                  </w14:solidFill>
                </w14:textFill>
              </w:rPr>
              <w:t>等证明资料</w:t>
            </w:r>
            <w:r>
              <w:rPr>
                <w:rFonts w:hint="eastAsia" w:ascii="方正仿宋_GBK" w:hAnsi="方正仿宋_GBK" w:eastAsia="方正仿宋_GBK" w:cs="方正仿宋_GBK"/>
                <w:b w:val="0"/>
                <w:bCs w:val="0"/>
                <w:color w:val="000000" w:themeColor="text1"/>
                <w:szCs w:val="21"/>
                <w:highlight w:val="none"/>
                <w14:textFill>
                  <w14:solidFill>
                    <w14:schemeClr w14:val="tx1"/>
                  </w14:solidFill>
                </w14:textFill>
              </w:rPr>
              <w:t>，否则不予认可。</w:t>
            </w:r>
          </w:p>
        </w:tc>
      </w:tr>
    </w:tbl>
    <w:p>
      <w:pPr>
        <w:spacing w:before="100" w:beforeAutospacing="1" w:after="100" w:afterAutospacing="1" w:line="440" w:lineRule="exact"/>
        <w:jc w:val="left"/>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1.评标方法：</w:t>
      </w:r>
    </w:p>
    <w:p>
      <w:pPr>
        <w:spacing w:line="440" w:lineRule="exact"/>
        <w:ind w:firstLine="413" w:firstLineChars="196"/>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b/>
          <w:color w:val="000000" w:themeColor="text1"/>
          <w:szCs w:val="21"/>
          <w:highlight w:val="none"/>
          <w14:textFill>
            <w14:solidFill>
              <w14:schemeClr w14:val="tx1"/>
            </w14:solidFill>
          </w14:textFill>
        </w:rPr>
        <w:t>1.1本次评标采用综合评分法。</w:t>
      </w:r>
      <w:r>
        <w:rPr>
          <w:rFonts w:hint="eastAsia" w:ascii="方正仿宋_GBK" w:hAnsi="方正仿宋_GBK" w:eastAsia="方正仿宋_GBK" w:cs="方正仿宋_GBK"/>
          <w:color w:val="000000" w:themeColor="text1"/>
          <w:szCs w:val="21"/>
          <w:highlight w:val="none"/>
          <w14:textFill>
            <w14:solidFill>
              <w14:schemeClr w14:val="tx1"/>
            </w14:solidFill>
          </w14:textFill>
        </w:rPr>
        <w:t>评标委员会对满足招标文件实质性要求的投标文件，按照本章前附表规定的评分标准进行打分，并按上述评标总得分计算公式计算评标总得分，评标结果按评审后得分由高到低顺序排列。得分相同的，按投标报价由低到高顺序排列；得分且投标报价相同的，按商务技术部分得分由高到低顺序排列。</w:t>
      </w:r>
    </w:p>
    <w:p>
      <w:pPr>
        <w:spacing w:before="100" w:beforeAutospacing="1" w:after="100" w:afterAutospacing="1" w:line="440" w:lineRule="exact"/>
        <w:jc w:val="left"/>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2. 评审程序和标准</w:t>
      </w:r>
    </w:p>
    <w:p>
      <w:pPr>
        <w:pStyle w:val="23"/>
        <w:tabs>
          <w:tab w:val="left" w:pos="2472"/>
        </w:tabs>
        <w:spacing w:line="440" w:lineRule="exac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2.1资格审查、符合性审查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2.1.1资格审查：采购人或者采购代理机构依据法律法规和招标文件的规定，对投标文件中的资格证明文件进行审查（具体详见《评标方法前附表》），有一项不符合的，该投标文件按无效投标处理。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2.1.2符合性审查：评标委员会依据招标文件的规定，对符合资格的投标人的投标文件进行符合性审查（具体详见《评标方法前附表》），有一项不符合的，该投标文件按无效投标处理。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2.1.3符合本章第2.1.1、2.1.2项规定的投标文件视为符合招标文件的商务、技术等实质性要求评审，可以进行技术和商务评估，综合比较与评价。</w:t>
      </w:r>
    </w:p>
    <w:p>
      <w:pPr>
        <w:pStyle w:val="23"/>
        <w:tabs>
          <w:tab w:val="left" w:pos="2472"/>
        </w:tabs>
        <w:spacing w:line="440" w:lineRule="exact"/>
        <w:rPr>
          <w:rFonts w:hint="eastAsia" w:ascii="方正仿宋_GBK" w:hAnsi="方正仿宋_GBK" w:eastAsia="方正仿宋_GBK" w:cs="方正仿宋_GBK"/>
          <w:b/>
          <w:bCs/>
          <w:color w:val="000000" w:themeColor="text1"/>
          <w:sz w:val="24"/>
          <w:highlight w:val="none"/>
          <w14:textFill>
            <w14:solidFill>
              <w14:schemeClr w14:val="tx1"/>
            </w14:solidFill>
          </w14:textFill>
        </w:rPr>
      </w:pPr>
      <w:bookmarkStart w:id="626" w:name="_Toc489145775"/>
      <w:bookmarkStart w:id="627" w:name="_Toc321836408"/>
      <w:bookmarkStart w:id="628" w:name="_Toc489197879"/>
      <w:r>
        <w:rPr>
          <w:rFonts w:hint="eastAsia" w:ascii="方正仿宋_GBK" w:hAnsi="方正仿宋_GBK" w:eastAsia="方正仿宋_GBK" w:cs="方正仿宋_GBK"/>
          <w:b/>
          <w:bCs/>
          <w:color w:val="000000" w:themeColor="text1"/>
          <w:sz w:val="24"/>
          <w:highlight w:val="none"/>
          <w14:textFill>
            <w14:solidFill>
              <w14:schemeClr w14:val="tx1"/>
            </w14:solidFill>
          </w14:textFill>
        </w:rPr>
        <w:t>2.2 分值构成与评分标准</w:t>
      </w:r>
      <w:bookmarkEnd w:id="626"/>
      <w:bookmarkEnd w:id="627"/>
      <w:bookmarkEnd w:id="628"/>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2.2.1 分值构成</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（1）投标报价：详见《评标方法前附表》；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（2）商务及技术部分：详见《评标方法前附表》；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2.2.2 评标基准价计算方法：详见《评标方法前附表》。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2.2.3 评分标准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按招标文件中规定的评标方法和标准，对满足招标文件实质性要求评审的投标文件进行技术和商务评估，综合比较与评价。</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（1）投标报价评分标准：详见《评标方法前附表》；</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（2）商务及技术部分评分标准：详见《评标方法前附表》；</w:t>
      </w:r>
    </w:p>
    <w:p>
      <w:pPr>
        <w:pStyle w:val="23"/>
        <w:tabs>
          <w:tab w:val="left" w:pos="2472"/>
        </w:tabs>
        <w:spacing w:line="440" w:lineRule="exact"/>
        <w:rPr>
          <w:rFonts w:hint="eastAsia" w:ascii="方正仿宋_GBK" w:hAnsi="方正仿宋_GBK" w:eastAsia="方正仿宋_GBK" w:cs="方正仿宋_GBK"/>
          <w:b/>
          <w:bCs/>
          <w:color w:val="000000" w:themeColor="text1"/>
          <w:sz w:val="24"/>
          <w:highlight w:val="none"/>
          <w14:textFill>
            <w14:solidFill>
              <w14:schemeClr w14:val="tx1"/>
            </w14:solidFill>
          </w14:textFill>
        </w:rPr>
      </w:pPr>
      <w:bookmarkStart w:id="629" w:name="_Toc489145776"/>
      <w:bookmarkStart w:id="630" w:name="_Toc489197880"/>
      <w:bookmarkStart w:id="631" w:name="_Toc321836409"/>
      <w:r>
        <w:rPr>
          <w:rFonts w:hint="eastAsia" w:ascii="方正仿宋_GBK" w:hAnsi="方正仿宋_GBK" w:eastAsia="方正仿宋_GBK" w:cs="方正仿宋_GBK"/>
          <w:b/>
          <w:bCs/>
          <w:color w:val="000000" w:themeColor="text1"/>
          <w:sz w:val="24"/>
          <w:highlight w:val="none"/>
          <w14:textFill>
            <w14:solidFill>
              <w14:schemeClr w14:val="tx1"/>
            </w14:solidFill>
          </w14:textFill>
        </w:rPr>
        <w:t>2.3</w:t>
      </w:r>
      <w:bookmarkEnd w:id="629"/>
      <w:bookmarkEnd w:id="630"/>
      <w:bookmarkEnd w:id="631"/>
      <w:r>
        <w:rPr>
          <w:rFonts w:hint="eastAsia" w:ascii="方正仿宋_GBK" w:hAnsi="方正仿宋_GBK" w:eastAsia="方正仿宋_GBK" w:cs="方正仿宋_GBK"/>
          <w:b/>
          <w:bCs/>
          <w:color w:val="000000" w:themeColor="text1"/>
          <w:sz w:val="24"/>
          <w:highlight w:val="none"/>
          <w14:textFill>
            <w14:solidFill>
              <w14:schemeClr w14:val="tx1"/>
            </w14:solidFill>
          </w14:textFill>
        </w:rPr>
        <w:t>综合比较与评价</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2.3.1 评标委员会按本章2.2.1规定的评分标准进行打分，并计算出投标人的评标总得分。对投标人的价格分等客观评分项的评分应当一致，对其他需要借助专业知识评判的主观评分项，应当严格按照评分细则公正评分。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（1）按本章《评标方法前附表》的规定对投标报价计算出得分F1；</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（2）按本章《评标方法前附表》的规定对商务及技术部分评分，得分F2；</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（3）按本章《评标方法前附表》的规定计算评标总得分。</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2.3.2商务技术部分（F2）得分由评标委员会成员独立评分，投标人各项评分因素得分为该项因素各评委评分的算术平均值（保留小数点后两位），小数点后第三位“四舍五入”。</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pStyle w:val="23"/>
        <w:tabs>
          <w:tab w:val="left" w:pos="2472"/>
        </w:tabs>
        <w:spacing w:line="440" w:lineRule="exact"/>
        <w:rPr>
          <w:rFonts w:hint="eastAsia" w:ascii="方正仿宋_GBK" w:hAnsi="方正仿宋_GBK" w:eastAsia="方正仿宋_GBK" w:cs="方正仿宋_GBK"/>
          <w:b/>
          <w:bCs/>
          <w:color w:val="000000" w:themeColor="text1"/>
          <w:sz w:val="24"/>
          <w:highlight w:val="none"/>
          <w14:textFill>
            <w14:solidFill>
              <w14:schemeClr w14:val="tx1"/>
            </w14:solidFill>
          </w14:textFill>
        </w:rPr>
      </w:pPr>
      <w:bookmarkStart w:id="632" w:name="_Toc321836412"/>
      <w:bookmarkStart w:id="633" w:name="_Toc489197881"/>
      <w:bookmarkStart w:id="634" w:name="_Toc489145777"/>
      <w:r>
        <w:rPr>
          <w:rFonts w:hint="eastAsia" w:ascii="方正仿宋_GBK" w:hAnsi="方正仿宋_GBK" w:eastAsia="方正仿宋_GBK" w:cs="方正仿宋_GBK"/>
          <w:b/>
          <w:bCs/>
          <w:color w:val="000000" w:themeColor="text1"/>
          <w:sz w:val="24"/>
          <w:highlight w:val="none"/>
          <w14:textFill>
            <w14:solidFill>
              <w14:schemeClr w14:val="tx1"/>
            </w14:solidFill>
          </w14:textFill>
        </w:rPr>
        <w:t>2.4投标文件的澄清</w:t>
      </w:r>
      <w:bookmarkEnd w:id="632"/>
      <w:bookmarkEnd w:id="633"/>
      <w:bookmarkEnd w:id="634"/>
      <w:r>
        <w:rPr>
          <w:rFonts w:hint="eastAsia" w:ascii="方正仿宋_GBK" w:hAnsi="方正仿宋_GBK" w:eastAsia="方正仿宋_GBK" w:cs="方正仿宋_GBK"/>
          <w:b/>
          <w:bCs/>
          <w:color w:val="000000" w:themeColor="text1"/>
          <w:sz w:val="24"/>
          <w:highlight w:val="none"/>
          <w14:textFill>
            <w14:solidFill>
              <w14:schemeClr w14:val="tx1"/>
            </w14:solidFill>
          </w14:textFill>
        </w:rPr>
        <w:t xml:space="preserve"> </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章。投标人的澄清、说明或者补正不得超出投标文件的范围或者改变投标文件的实质性内容。</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2.4.2评标委员会不接受投标人主动提出的澄清、说明或者补正。</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2.4.3 评标委员会对投标人提交的澄清、说明或者补正有疑问的，可以要求投标人进一步澄清、说明或者补正。</w:t>
      </w:r>
    </w:p>
    <w:p>
      <w:pPr>
        <w:pStyle w:val="23"/>
        <w:tabs>
          <w:tab w:val="left" w:pos="2472"/>
        </w:tabs>
        <w:spacing w:line="440" w:lineRule="exact"/>
        <w:rPr>
          <w:rFonts w:hint="eastAsia" w:ascii="方正仿宋_GBK" w:hAnsi="方正仿宋_GBK" w:eastAsia="方正仿宋_GBK" w:cs="方正仿宋_GBK"/>
          <w:b/>
          <w:bCs/>
          <w:color w:val="000000" w:themeColor="text1"/>
          <w:sz w:val="24"/>
          <w:highlight w:val="none"/>
          <w14:textFill>
            <w14:solidFill>
              <w14:schemeClr w14:val="tx1"/>
            </w14:solidFill>
          </w14:textFill>
        </w:rPr>
      </w:pPr>
      <w:bookmarkStart w:id="635" w:name="_Toc489145778"/>
      <w:bookmarkStart w:id="636" w:name="_Toc489197882"/>
      <w:bookmarkStart w:id="637" w:name="_Toc321836413"/>
      <w:r>
        <w:rPr>
          <w:rFonts w:hint="eastAsia" w:ascii="方正仿宋_GBK" w:hAnsi="方正仿宋_GBK" w:eastAsia="方正仿宋_GBK" w:cs="方正仿宋_GBK"/>
          <w:b/>
          <w:bCs/>
          <w:color w:val="000000" w:themeColor="text1"/>
          <w:sz w:val="24"/>
          <w:highlight w:val="none"/>
          <w14:textFill>
            <w14:solidFill>
              <w14:schemeClr w14:val="tx1"/>
            </w14:solidFill>
          </w14:textFill>
        </w:rPr>
        <w:t>2.5评标结果</w:t>
      </w:r>
      <w:bookmarkEnd w:id="635"/>
      <w:bookmarkEnd w:id="636"/>
      <w:bookmarkEnd w:id="637"/>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2.5.1 评标委员会按评标总得分由高到低顺序推荐中标候选人，评标结果按评审后得分由高到低顺序排列。得分相同的，按投标报价由低到高顺序排列；得分且投标报价相同的，按商务技术部分得分由高到低顺序排列；并提出书面评标报告。</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2.5.2 采购人根据评标委员会提出的书面评标报告和推荐的中标候选人名单，确定中标人。</w:t>
      </w:r>
    </w:p>
    <w:p>
      <w:pPr>
        <w:spacing w:line="440" w:lineRule="exact"/>
        <w:ind w:firstLine="420" w:firstLineChars="200"/>
        <w:jc w:val="left"/>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Cs w:val="21"/>
          <w:highlight w:val="none"/>
          <w14:textFill>
            <w14:solidFill>
              <w14:schemeClr w14:val="tx1"/>
            </w14:solidFill>
          </w14:textFill>
        </w:rPr>
        <w:t>2.5.3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624"/>
      <w:bookmarkEnd w:id="625"/>
      <w:r>
        <w:rPr>
          <w:rFonts w:hint="eastAsia" w:ascii="方正仿宋_GBK" w:hAnsi="方正仿宋_GBK" w:eastAsia="方正仿宋_GBK" w:cs="方正仿宋_GBK"/>
          <w:color w:val="000000" w:themeColor="text1"/>
          <w:szCs w:val="21"/>
          <w:highlight w:val="none"/>
          <w14:textFill>
            <w14:solidFill>
              <w14:schemeClr w14:val="tx1"/>
            </w14:solidFill>
          </w14:textFill>
        </w:rPr>
        <w:t>；发现投标人提供虚假材料、串通等违法违规行为的，要及时向采购人或采购代理机构报告。</w:t>
      </w:r>
    </w:p>
    <w:sectPr>
      <w:footerReference r:id="rId8" w:type="default"/>
      <w:headerReference r:id="rId7" w:type="even"/>
      <w:footerReference r:id="rId9" w:type="even"/>
      <w:pgSz w:w="11906" w:h="16838"/>
      <w:pgMar w:top="1440" w:right="1797" w:bottom="1440" w:left="1797"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B6A4BEAD-9CCD-4AB7-8CC1-D95B0CAE8FDB}"/>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Helvetica Neue">
    <w:altName w:val="微软雅黑"/>
    <w:panose1 w:val="00000000000000000000"/>
    <w:charset w:val="00"/>
    <w:family w:val="auto"/>
    <w:pitch w:val="default"/>
    <w:sig w:usb0="00000000" w:usb1="00000000" w:usb2="00000010" w:usb3="00000000" w:csb0="0000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方正小标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embedRegular r:id="rId2" w:fontKey="{8A466F3F-A822-49D0-A2F1-96CFC9895E99}"/>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仿宋_GBK">
    <w:panose1 w:val="02000000000000000000"/>
    <w:charset w:val="86"/>
    <w:family w:val="script"/>
    <w:pitch w:val="default"/>
    <w:sig w:usb0="A00002BF" w:usb1="38CF7CFA" w:usb2="00082016" w:usb3="00000000" w:csb0="00040001" w:csb1="00000000"/>
    <w:embedRegular r:id="rId3" w:fontKey="{74408EED-2564-41B8-A8C3-FA209AD0EBD8}"/>
  </w:font>
  <w:font w:name="方正仿宋_GB18030">
    <w:altName w:val="仿宋"/>
    <w:panose1 w:val="02000000000000000000"/>
    <w:charset w:val="86"/>
    <w:family w:val="auto"/>
    <w:pitch w:val="default"/>
    <w:sig w:usb0="00000000" w:usb1="00000000" w:usb2="00000000" w:usb3="00000000" w:csb0="00040000" w:csb1="00000000"/>
    <w:embedRegular r:id="rId4" w:fontKey="{6FF27899-ABFF-45A2-9D55-417179BEF0C7}"/>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5"/>
      </w:rPr>
    </w:pPr>
    <w:r>
      <w:fldChar w:fldCharType="begin"/>
    </w:r>
    <w:r>
      <w:rPr>
        <w:rStyle w:val="45"/>
      </w:rPr>
      <w:instrText xml:space="preserve">PAGE  </w:instrText>
    </w:r>
    <w:r>
      <w:fldChar w:fldCharType="end"/>
    </w:r>
  </w:p>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both"/>
    </w:pPr>
  </w:p>
  <w:p>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8"/>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firstLine="360"/>
      <w:jc w:val="cente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ind w:right="360" w:firstLine="360"/>
                            <w:jc w:val="center"/>
                          </w:pPr>
                          <w:r>
                            <w:fldChar w:fldCharType="begin"/>
                          </w:r>
                          <w:r>
                            <w:rPr>
                              <w:rStyle w:val="45"/>
                            </w:rPr>
                            <w:instrText xml:space="preserve"> PAGE </w:instrText>
                          </w:r>
                          <w:r>
                            <w:fldChar w:fldCharType="separate"/>
                          </w:r>
                          <w:r>
                            <w:rPr>
                              <w:rStyle w:val="45"/>
                            </w:rPr>
                            <w:t>68</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1OB9csBAACcAwAADgAAAGRycy9lMm9Eb2MueG1srVNLbtswEN0XyB0I&#10;7mPJWgSGYDlIYKQoEKQF0h6ApkiLAH/g0JZ8gfYGXXXTfc/lc3RISU6bbrLohhrODN+8NzNa3w5G&#10;k6MIoJxt6HJRUiIsd62y+4Z++fxwvaIEIrMt086Khp4E0NvN1bt172tRuc7pVgSCIBbq3je0i9HX&#10;RQG8E4bBwnlhMShdMCziNeyLNrAe0Y0uqrK8KXoXWh8cFwDo3Y5BOiGGtwA6KRUXW8cPRtg4ogah&#10;WURJ0CkPdJPZSil4/CgliEh0Q1FpzCcWQXuXzmKzZvU+MN8pPlFgb6HwSpNhymLRC9SWRUYOQf0D&#10;ZRQPDpyMC+5MMQrJHUEVy/JVb5475kXWgq0Gf2k6/D9Y/nT8FIhqG1pRYpnBgZ+/fzv/+HX++ZUs&#10;y+omdaj3UGPis8fUONy7Afdm9gM6k/BBBpO+KIlgHPt7uvRXDJHw9GhVrVYlhjjG5gviFy/PfYD4&#10;XjhDktHQgAPMfWXHR4hj6pySqln3oLTOQ9T2LwdiJk+RuI8ckxWH3TAJ2rn2hHp6nH1DLa46JfqD&#10;xdamNZmNMBu72Tj4oPYdUltmXuDvDhFJZG6pwgg7FcahZXXTgqWt+POes15+q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tTgfXLAQAAnAMAAA4AAAAAAAAAAQAgAAAAHgEAAGRycy9lMm9E&#10;b2MueG1sUEsFBgAAAAAGAAYAWQEAAFsFAAAAAA==&#10;">
              <v:fill on="f" focussize="0,0"/>
              <v:stroke on="f"/>
              <v:imagedata o:title=""/>
              <o:lock v:ext="edit" aspectratio="f"/>
              <v:textbox inset="0mm,0mm,0mm,0mm" style="mso-fit-shape-to-text:t;">
                <w:txbxContent>
                  <w:p>
                    <w:pPr>
                      <w:pStyle w:val="28"/>
                      <w:ind w:right="360" w:firstLine="360"/>
                      <w:jc w:val="center"/>
                    </w:pPr>
                    <w:r>
                      <w:fldChar w:fldCharType="begin"/>
                    </w:r>
                    <w:r>
                      <w:rPr>
                        <w:rStyle w:val="45"/>
                      </w:rPr>
                      <w:instrText xml:space="preserve"> PAGE </w:instrText>
                    </w:r>
                    <w:r>
                      <w:fldChar w:fldCharType="separate"/>
                    </w:r>
                    <w:r>
                      <w:rPr>
                        <w:rStyle w:val="45"/>
                      </w:rP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5"/>
      </w:rPr>
    </w:pPr>
  </w:p>
  <w:p>
    <w:pPr>
      <w:pStyle w:val="28"/>
      <w:ind w:right="360"/>
      <w:jc w:val="center"/>
    </w:pPr>
    <w:r>
      <w:fldChar w:fldCharType="begin"/>
    </w:r>
    <w:r>
      <w:rPr>
        <w:rStyle w:val="45"/>
      </w:rPr>
      <w:instrText xml:space="preserve"> PAGE </w:instrText>
    </w:r>
    <w:r>
      <w:fldChar w:fldCharType="separate"/>
    </w:r>
    <w:r>
      <w:rPr>
        <w:rStyle w:val="45"/>
      </w:rPr>
      <w:t>24</w:t>
    </w:r>
    <w:r>
      <w:fldChar w:fldCharType="end"/>
    </w:r>
  </w:p>
  <w:p/>
  <w:p/>
  <w:p/>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rPr>
        <w:rFonts w:hint="eastAsia" w:ascii="仿宋_GB2312" w:hAnsi="宋体" w:eastAsia="仿宋_GB2312"/>
      </w:rPr>
    </w:pPr>
  </w:p>
  <w:p>
    <w:pPr>
      <w:pStyle w:val="29"/>
      <w:pBdr>
        <w:bottom w:val="none" w:color="auto" w:sz="0" w:space="0"/>
      </w:pBdr>
    </w:pPr>
  </w:p>
  <w:p/>
  <w:p/>
  <w:p/>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7A2676"/>
    <w:multiLevelType w:val="singleLevel"/>
    <w:tmpl w:val="DE7A2676"/>
    <w:lvl w:ilvl="0" w:tentative="0">
      <w:start w:val="4"/>
      <w:numFmt w:val="chineseCounting"/>
      <w:suff w:val="nothing"/>
      <w:lvlText w:val="（%1）"/>
      <w:lvlJc w:val="left"/>
      <w:rPr>
        <w:rFonts w:hint="eastAsia"/>
      </w:rPr>
    </w:lvl>
  </w:abstractNum>
  <w:abstractNum w:abstractNumId="1">
    <w:nsid w:val="4CA75A52"/>
    <w:multiLevelType w:val="multilevel"/>
    <w:tmpl w:val="4CA75A52"/>
    <w:lvl w:ilvl="0" w:tentative="0">
      <w:start w:val="1"/>
      <w:numFmt w:val="decimal"/>
      <w:lvlText w:val="%1)"/>
      <w:lvlJc w:val="left"/>
      <w:pPr>
        <w:ind w:left="420" w:firstLine="0"/>
      </w:pPr>
      <w:rPr>
        <w:rFonts w:hint="default" w:ascii="Verdana" w:hAnsi="Verdana"/>
        <w:b w:val="0"/>
        <w:lang w:val="zh-CN"/>
      </w:r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num w:numId="1">
    <w:abstractNumId w:val="1"/>
    <w:lvlOverride w:ilvl="0">
      <w:lvl w:ilvl="0" w:tentative="1">
        <w:start w:val="1"/>
        <w:numFmt w:val="decimal"/>
        <w:pStyle w:val="117"/>
        <w:lvlText w:val="%1)"/>
        <w:lvlJc w:val="left"/>
        <w:pPr>
          <w:ind w:left="420" w:firstLine="0"/>
        </w:pPr>
        <w:rPr>
          <w:rFonts w:hint="default" w:ascii="Verdana" w:hAnsi="Verdana"/>
          <w:b w:val="0"/>
          <w:lang w:val="zh-CN"/>
        </w:rPr>
      </w:lvl>
    </w:lvlOverride>
    <w:lvlOverride w:ilvl="1">
      <w:lvl w:ilvl="1" w:tentative="1">
        <w:start w:val="1"/>
        <w:numFmt w:val="lowerLetter"/>
        <w:lvlText w:val="%2)"/>
        <w:lvlJc w:val="left"/>
        <w:pPr>
          <w:ind w:left="420" w:hanging="420"/>
        </w:pPr>
      </w:lvl>
    </w:lvlOverride>
    <w:lvlOverride w:ilvl="2">
      <w:lvl w:ilvl="2" w:tentative="1">
        <w:start w:val="1"/>
        <w:numFmt w:val="lowerRoman"/>
        <w:lvlText w:val="%3."/>
        <w:lvlJc w:val="right"/>
        <w:pPr>
          <w:ind w:left="840" w:hanging="420"/>
        </w:pPr>
      </w:lvl>
    </w:lvlOverride>
    <w:lvlOverride w:ilvl="3">
      <w:lvl w:ilvl="3" w:tentative="1">
        <w:start w:val="1"/>
        <w:numFmt w:val="decimal"/>
        <w:lvlText w:val="%4."/>
        <w:lvlJc w:val="left"/>
        <w:pPr>
          <w:ind w:left="1260" w:hanging="420"/>
        </w:pPr>
      </w:lvl>
    </w:lvlOverride>
    <w:lvlOverride w:ilvl="4">
      <w:lvl w:ilvl="4" w:tentative="1">
        <w:start w:val="1"/>
        <w:numFmt w:val="lowerLetter"/>
        <w:pStyle w:val="223"/>
        <w:lvlText w:val="%5)"/>
        <w:lvlJc w:val="left"/>
        <w:pPr>
          <w:ind w:left="1680" w:hanging="420"/>
        </w:pPr>
      </w:lvl>
    </w:lvlOverride>
    <w:lvlOverride w:ilvl="5">
      <w:lvl w:ilvl="5" w:tentative="1">
        <w:start w:val="1"/>
        <w:numFmt w:val="lowerRoman"/>
        <w:pStyle w:val="201"/>
        <w:lvlText w:val="%6."/>
        <w:lvlJc w:val="right"/>
        <w:pPr>
          <w:ind w:left="2100" w:hanging="420"/>
        </w:pPr>
      </w:lvl>
    </w:lvlOverride>
    <w:lvlOverride w:ilvl="6">
      <w:lvl w:ilvl="6" w:tentative="1">
        <w:start w:val="1"/>
        <w:numFmt w:val="decimal"/>
        <w:pStyle w:val="228"/>
        <w:lvlText w:val="%7."/>
        <w:lvlJc w:val="left"/>
        <w:pPr>
          <w:ind w:left="2520" w:hanging="420"/>
        </w:pPr>
      </w:lvl>
    </w:lvlOverride>
    <w:lvlOverride w:ilvl="7">
      <w:lvl w:ilvl="7" w:tentative="1">
        <w:start w:val="1"/>
        <w:numFmt w:val="lowerLetter"/>
        <w:pStyle w:val="230"/>
        <w:lvlText w:val="%8)"/>
        <w:lvlJc w:val="left"/>
        <w:pPr>
          <w:ind w:left="2940" w:hanging="420"/>
        </w:pPr>
      </w:lvl>
    </w:lvlOverride>
    <w:lvlOverride w:ilvl="8">
      <w:lvl w:ilvl="8" w:tentative="1">
        <w:start w:val="1"/>
        <w:numFmt w:val="lowerRoman"/>
        <w:pStyle w:val="229"/>
        <w:lvlText w:val="%9."/>
        <w:lvlJc w:val="right"/>
        <w:pPr>
          <w:ind w:left="3360" w:hanging="420"/>
        </w:p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4MzE4MzQ2Nzc3MTRjNDJhNTAyODExNTI2NGI5ZDYifQ=="/>
  </w:docVars>
  <w:rsids>
    <w:rsidRoot w:val="00AA63A0"/>
    <w:rsid w:val="000001DD"/>
    <w:rsid w:val="00000368"/>
    <w:rsid w:val="000007C7"/>
    <w:rsid w:val="00001193"/>
    <w:rsid w:val="000011E9"/>
    <w:rsid w:val="00001CB4"/>
    <w:rsid w:val="00002418"/>
    <w:rsid w:val="000026CF"/>
    <w:rsid w:val="00002713"/>
    <w:rsid w:val="00002A0F"/>
    <w:rsid w:val="00002AF6"/>
    <w:rsid w:val="00002CC3"/>
    <w:rsid w:val="00002DAF"/>
    <w:rsid w:val="00002EA8"/>
    <w:rsid w:val="000030C1"/>
    <w:rsid w:val="00003280"/>
    <w:rsid w:val="00003AD3"/>
    <w:rsid w:val="0000442E"/>
    <w:rsid w:val="00005E36"/>
    <w:rsid w:val="000062FE"/>
    <w:rsid w:val="00006587"/>
    <w:rsid w:val="000067DF"/>
    <w:rsid w:val="00007E1B"/>
    <w:rsid w:val="00010641"/>
    <w:rsid w:val="00011046"/>
    <w:rsid w:val="000129F1"/>
    <w:rsid w:val="00013235"/>
    <w:rsid w:val="00013425"/>
    <w:rsid w:val="00013A2A"/>
    <w:rsid w:val="000141BE"/>
    <w:rsid w:val="000156B4"/>
    <w:rsid w:val="00016724"/>
    <w:rsid w:val="0001690F"/>
    <w:rsid w:val="00016B3A"/>
    <w:rsid w:val="000170F3"/>
    <w:rsid w:val="000173C8"/>
    <w:rsid w:val="0002123D"/>
    <w:rsid w:val="00021987"/>
    <w:rsid w:val="00021A85"/>
    <w:rsid w:val="00023146"/>
    <w:rsid w:val="000232D5"/>
    <w:rsid w:val="00023A94"/>
    <w:rsid w:val="00024837"/>
    <w:rsid w:val="000256B2"/>
    <w:rsid w:val="00026B14"/>
    <w:rsid w:val="000277E1"/>
    <w:rsid w:val="000309F7"/>
    <w:rsid w:val="00030C9D"/>
    <w:rsid w:val="00030E86"/>
    <w:rsid w:val="00031014"/>
    <w:rsid w:val="0003125E"/>
    <w:rsid w:val="00031453"/>
    <w:rsid w:val="000316AE"/>
    <w:rsid w:val="00032398"/>
    <w:rsid w:val="0003298A"/>
    <w:rsid w:val="000337C2"/>
    <w:rsid w:val="0003382A"/>
    <w:rsid w:val="00034372"/>
    <w:rsid w:val="00034E8C"/>
    <w:rsid w:val="0003501C"/>
    <w:rsid w:val="0003521E"/>
    <w:rsid w:val="000361EA"/>
    <w:rsid w:val="00036355"/>
    <w:rsid w:val="00036537"/>
    <w:rsid w:val="000367D4"/>
    <w:rsid w:val="00037D44"/>
    <w:rsid w:val="00037E63"/>
    <w:rsid w:val="0004187D"/>
    <w:rsid w:val="00041C3B"/>
    <w:rsid w:val="00041F03"/>
    <w:rsid w:val="000421E6"/>
    <w:rsid w:val="00042A69"/>
    <w:rsid w:val="00042CA9"/>
    <w:rsid w:val="00043998"/>
    <w:rsid w:val="00043FD2"/>
    <w:rsid w:val="00043FF3"/>
    <w:rsid w:val="000443B5"/>
    <w:rsid w:val="00046CDE"/>
    <w:rsid w:val="00046D77"/>
    <w:rsid w:val="00046F86"/>
    <w:rsid w:val="00047C79"/>
    <w:rsid w:val="00050AD7"/>
    <w:rsid w:val="00050EA2"/>
    <w:rsid w:val="00051742"/>
    <w:rsid w:val="00051820"/>
    <w:rsid w:val="00051AA8"/>
    <w:rsid w:val="00051D51"/>
    <w:rsid w:val="0005225F"/>
    <w:rsid w:val="00052436"/>
    <w:rsid w:val="00053223"/>
    <w:rsid w:val="00053C7D"/>
    <w:rsid w:val="00054319"/>
    <w:rsid w:val="000548E1"/>
    <w:rsid w:val="00055893"/>
    <w:rsid w:val="00055CA8"/>
    <w:rsid w:val="00055D2D"/>
    <w:rsid w:val="00056180"/>
    <w:rsid w:val="000562B9"/>
    <w:rsid w:val="0005687F"/>
    <w:rsid w:val="00057624"/>
    <w:rsid w:val="00057EE7"/>
    <w:rsid w:val="000609A9"/>
    <w:rsid w:val="00060C21"/>
    <w:rsid w:val="00060F4E"/>
    <w:rsid w:val="00061BE0"/>
    <w:rsid w:val="00061E2C"/>
    <w:rsid w:val="0006234B"/>
    <w:rsid w:val="00062A4C"/>
    <w:rsid w:val="0006303A"/>
    <w:rsid w:val="00063050"/>
    <w:rsid w:val="0006347C"/>
    <w:rsid w:val="00064206"/>
    <w:rsid w:val="00065399"/>
    <w:rsid w:val="0006564F"/>
    <w:rsid w:val="00065B5E"/>
    <w:rsid w:val="00065E1A"/>
    <w:rsid w:val="00066088"/>
    <w:rsid w:val="000664A0"/>
    <w:rsid w:val="00066C8C"/>
    <w:rsid w:val="00067AF7"/>
    <w:rsid w:val="00067BF0"/>
    <w:rsid w:val="000704E8"/>
    <w:rsid w:val="00070960"/>
    <w:rsid w:val="00070F5F"/>
    <w:rsid w:val="0007105D"/>
    <w:rsid w:val="000719FA"/>
    <w:rsid w:val="00071F39"/>
    <w:rsid w:val="000738C3"/>
    <w:rsid w:val="00073A3C"/>
    <w:rsid w:val="00073BD5"/>
    <w:rsid w:val="00074372"/>
    <w:rsid w:val="000746CA"/>
    <w:rsid w:val="000765CB"/>
    <w:rsid w:val="00076B83"/>
    <w:rsid w:val="000770A3"/>
    <w:rsid w:val="00077676"/>
    <w:rsid w:val="000778CD"/>
    <w:rsid w:val="00077F2B"/>
    <w:rsid w:val="000803D4"/>
    <w:rsid w:val="00081818"/>
    <w:rsid w:val="00082A86"/>
    <w:rsid w:val="00082F73"/>
    <w:rsid w:val="00082F88"/>
    <w:rsid w:val="0008386F"/>
    <w:rsid w:val="000844D7"/>
    <w:rsid w:val="00085581"/>
    <w:rsid w:val="000859AC"/>
    <w:rsid w:val="00085B35"/>
    <w:rsid w:val="00087335"/>
    <w:rsid w:val="000874C1"/>
    <w:rsid w:val="000875A1"/>
    <w:rsid w:val="00087819"/>
    <w:rsid w:val="000900F6"/>
    <w:rsid w:val="000908B0"/>
    <w:rsid w:val="000908F6"/>
    <w:rsid w:val="000915B9"/>
    <w:rsid w:val="00091AB0"/>
    <w:rsid w:val="00091C0A"/>
    <w:rsid w:val="00092159"/>
    <w:rsid w:val="000928D5"/>
    <w:rsid w:val="00092B6A"/>
    <w:rsid w:val="00092CB3"/>
    <w:rsid w:val="00092D6A"/>
    <w:rsid w:val="00092D8D"/>
    <w:rsid w:val="00093AB9"/>
    <w:rsid w:val="00094070"/>
    <w:rsid w:val="000948DF"/>
    <w:rsid w:val="00096065"/>
    <w:rsid w:val="000965B8"/>
    <w:rsid w:val="000974FB"/>
    <w:rsid w:val="000A0A6B"/>
    <w:rsid w:val="000A1714"/>
    <w:rsid w:val="000A1855"/>
    <w:rsid w:val="000A1B7E"/>
    <w:rsid w:val="000A2880"/>
    <w:rsid w:val="000A2C52"/>
    <w:rsid w:val="000A33FA"/>
    <w:rsid w:val="000A3C50"/>
    <w:rsid w:val="000A3CE0"/>
    <w:rsid w:val="000A43A1"/>
    <w:rsid w:val="000A47DF"/>
    <w:rsid w:val="000A4C21"/>
    <w:rsid w:val="000A51A7"/>
    <w:rsid w:val="000A5386"/>
    <w:rsid w:val="000A558D"/>
    <w:rsid w:val="000A5C2D"/>
    <w:rsid w:val="000A5FB9"/>
    <w:rsid w:val="000A60BA"/>
    <w:rsid w:val="000A614E"/>
    <w:rsid w:val="000A67B9"/>
    <w:rsid w:val="000A6804"/>
    <w:rsid w:val="000A6B83"/>
    <w:rsid w:val="000A6FFB"/>
    <w:rsid w:val="000A71B9"/>
    <w:rsid w:val="000A731C"/>
    <w:rsid w:val="000A7450"/>
    <w:rsid w:val="000A78BA"/>
    <w:rsid w:val="000A7BF4"/>
    <w:rsid w:val="000A7DB3"/>
    <w:rsid w:val="000B0918"/>
    <w:rsid w:val="000B0C6C"/>
    <w:rsid w:val="000B0F19"/>
    <w:rsid w:val="000B0F93"/>
    <w:rsid w:val="000B1377"/>
    <w:rsid w:val="000B2375"/>
    <w:rsid w:val="000B29FD"/>
    <w:rsid w:val="000B30A7"/>
    <w:rsid w:val="000B4976"/>
    <w:rsid w:val="000B5E29"/>
    <w:rsid w:val="000C0533"/>
    <w:rsid w:val="000C1802"/>
    <w:rsid w:val="000C1E16"/>
    <w:rsid w:val="000C2916"/>
    <w:rsid w:val="000C314C"/>
    <w:rsid w:val="000C33D3"/>
    <w:rsid w:val="000C3F3B"/>
    <w:rsid w:val="000C464C"/>
    <w:rsid w:val="000C47A3"/>
    <w:rsid w:val="000C5049"/>
    <w:rsid w:val="000C5201"/>
    <w:rsid w:val="000C554D"/>
    <w:rsid w:val="000C597B"/>
    <w:rsid w:val="000C6942"/>
    <w:rsid w:val="000C6E53"/>
    <w:rsid w:val="000C715D"/>
    <w:rsid w:val="000C7A1A"/>
    <w:rsid w:val="000C7D60"/>
    <w:rsid w:val="000D0525"/>
    <w:rsid w:val="000D0B2F"/>
    <w:rsid w:val="000D0EC7"/>
    <w:rsid w:val="000D0F16"/>
    <w:rsid w:val="000D125D"/>
    <w:rsid w:val="000D172F"/>
    <w:rsid w:val="000D2690"/>
    <w:rsid w:val="000D27FB"/>
    <w:rsid w:val="000D306F"/>
    <w:rsid w:val="000D41C9"/>
    <w:rsid w:val="000D5478"/>
    <w:rsid w:val="000D54B8"/>
    <w:rsid w:val="000D563F"/>
    <w:rsid w:val="000D57BE"/>
    <w:rsid w:val="000D60DD"/>
    <w:rsid w:val="000D6E92"/>
    <w:rsid w:val="000D77B7"/>
    <w:rsid w:val="000D784C"/>
    <w:rsid w:val="000E0193"/>
    <w:rsid w:val="000E06CE"/>
    <w:rsid w:val="000E0E5C"/>
    <w:rsid w:val="000E131B"/>
    <w:rsid w:val="000E1687"/>
    <w:rsid w:val="000E199E"/>
    <w:rsid w:val="000E20AC"/>
    <w:rsid w:val="000E2A20"/>
    <w:rsid w:val="000E4677"/>
    <w:rsid w:val="000E5349"/>
    <w:rsid w:val="000E5BF2"/>
    <w:rsid w:val="000E5BF7"/>
    <w:rsid w:val="000E6DE3"/>
    <w:rsid w:val="000E7548"/>
    <w:rsid w:val="000E7D47"/>
    <w:rsid w:val="000F0112"/>
    <w:rsid w:val="000F0370"/>
    <w:rsid w:val="000F064A"/>
    <w:rsid w:val="000F09A2"/>
    <w:rsid w:val="000F0BEC"/>
    <w:rsid w:val="000F13B3"/>
    <w:rsid w:val="000F16C0"/>
    <w:rsid w:val="000F3244"/>
    <w:rsid w:val="000F452B"/>
    <w:rsid w:val="000F4936"/>
    <w:rsid w:val="000F4C18"/>
    <w:rsid w:val="000F5064"/>
    <w:rsid w:val="000F5FC6"/>
    <w:rsid w:val="000F6449"/>
    <w:rsid w:val="000F6D66"/>
    <w:rsid w:val="000F7387"/>
    <w:rsid w:val="000F744F"/>
    <w:rsid w:val="000F74FB"/>
    <w:rsid w:val="000F7C20"/>
    <w:rsid w:val="0010042B"/>
    <w:rsid w:val="00103050"/>
    <w:rsid w:val="001034CA"/>
    <w:rsid w:val="0010364F"/>
    <w:rsid w:val="00103CC5"/>
    <w:rsid w:val="00103DA3"/>
    <w:rsid w:val="00104564"/>
    <w:rsid w:val="00104B2D"/>
    <w:rsid w:val="00105B12"/>
    <w:rsid w:val="00105D31"/>
    <w:rsid w:val="00105D7C"/>
    <w:rsid w:val="00110334"/>
    <w:rsid w:val="001104EF"/>
    <w:rsid w:val="001107D3"/>
    <w:rsid w:val="0011216F"/>
    <w:rsid w:val="001123AE"/>
    <w:rsid w:val="00112BDA"/>
    <w:rsid w:val="001135C8"/>
    <w:rsid w:val="00113749"/>
    <w:rsid w:val="001139DB"/>
    <w:rsid w:val="0011485F"/>
    <w:rsid w:val="00114C77"/>
    <w:rsid w:val="00114E06"/>
    <w:rsid w:val="00116821"/>
    <w:rsid w:val="00116C62"/>
    <w:rsid w:val="00116E94"/>
    <w:rsid w:val="00117B26"/>
    <w:rsid w:val="0012009A"/>
    <w:rsid w:val="001203DD"/>
    <w:rsid w:val="00120CA1"/>
    <w:rsid w:val="0012104B"/>
    <w:rsid w:val="001210CD"/>
    <w:rsid w:val="00121F9A"/>
    <w:rsid w:val="00122AB2"/>
    <w:rsid w:val="00122C80"/>
    <w:rsid w:val="00123B62"/>
    <w:rsid w:val="001240CE"/>
    <w:rsid w:val="0012504B"/>
    <w:rsid w:val="0012509F"/>
    <w:rsid w:val="001251F4"/>
    <w:rsid w:val="00125971"/>
    <w:rsid w:val="00125B78"/>
    <w:rsid w:val="00125B7B"/>
    <w:rsid w:val="00126AB0"/>
    <w:rsid w:val="00126F18"/>
    <w:rsid w:val="001279CA"/>
    <w:rsid w:val="001306D8"/>
    <w:rsid w:val="0013085B"/>
    <w:rsid w:val="00131DA9"/>
    <w:rsid w:val="00131F9F"/>
    <w:rsid w:val="001336A0"/>
    <w:rsid w:val="0013396A"/>
    <w:rsid w:val="00133EA6"/>
    <w:rsid w:val="00134809"/>
    <w:rsid w:val="00135755"/>
    <w:rsid w:val="001362EA"/>
    <w:rsid w:val="00136D32"/>
    <w:rsid w:val="001375FA"/>
    <w:rsid w:val="00137774"/>
    <w:rsid w:val="00137994"/>
    <w:rsid w:val="001379B7"/>
    <w:rsid w:val="00140810"/>
    <w:rsid w:val="0014146E"/>
    <w:rsid w:val="001417FD"/>
    <w:rsid w:val="001420D7"/>
    <w:rsid w:val="001432F6"/>
    <w:rsid w:val="00143F30"/>
    <w:rsid w:val="00144125"/>
    <w:rsid w:val="00144215"/>
    <w:rsid w:val="001443EA"/>
    <w:rsid w:val="00144AE2"/>
    <w:rsid w:val="00144E1C"/>
    <w:rsid w:val="00145112"/>
    <w:rsid w:val="00145940"/>
    <w:rsid w:val="001465AB"/>
    <w:rsid w:val="0014661E"/>
    <w:rsid w:val="0014677E"/>
    <w:rsid w:val="0014784F"/>
    <w:rsid w:val="00150966"/>
    <w:rsid w:val="0015100E"/>
    <w:rsid w:val="001515F1"/>
    <w:rsid w:val="00151D5E"/>
    <w:rsid w:val="00151EC8"/>
    <w:rsid w:val="001521CB"/>
    <w:rsid w:val="001523DF"/>
    <w:rsid w:val="001523E3"/>
    <w:rsid w:val="001529F8"/>
    <w:rsid w:val="001533A5"/>
    <w:rsid w:val="00153884"/>
    <w:rsid w:val="00153A1B"/>
    <w:rsid w:val="001545C8"/>
    <w:rsid w:val="0015460E"/>
    <w:rsid w:val="00154666"/>
    <w:rsid w:val="001555F9"/>
    <w:rsid w:val="00155E75"/>
    <w:rsid w:val="00156B9B"/>
    <w:rsid w:val="0016095C"/>
    <w:rsid w:val="00160E34"/>
    <w:rsid w:val="00161182"/>
    <w:rsid w:val="001619E9"/>
    <w:rsid w:val="00161C98"/>
    <w:rsid w:val="00161D74"/>
    <w:rsid w:val="00163DB3"/>
    <w:rsid w:val="001642A1"/>
    <w:rsid w:val="00164A6D"/>
    <w:rsid w:val="00164F51"/>
    <w:rsid w:val="00164FFC"/>
    <w:rsid w:val="00167214"/>
    <w:rsid w:val="00167E63"/>
    <w:rsid w:val="0017004F"/>
    <w:rsid w:val="00170371"/>
    <w:rsid w:val="0017051C"/>
    <w:rsid w:val="00170789"/>
    <w:rsid w:val="001714C8"/>
    <w:rsid w:val="00171FE3"/>
    <w:rsid w:val="0017250D"/>
    <w:rsid w:val="0017292B"/>
    <w:rsid w:val="00172A27"/>
    <w:rsid w:val="00173DAB"/>
    <w:rsid w:val="00174B18"/>
    <w:rsid w:val="00175E70"/>
    <w:rsid w:val="001764DB"/>
    <w:rsid w:val="0018031F"/>
    <w:rsid w:val="00181409"/>
    <w:rsid w:val="0018168A"/>
    <w:rsid w:val="00181DE5"/>
    <w:rsid w:val="001834A1"/>
    <w:rsid w:val="00183A18"/>
    <w:rsid w:val="00183D92"/>
    <w:rsid w:val="00184FA7"/>
    <w:rsid w:val="00185157"/>
    <w:rsid w:val="0018639E"/>
    <w:rsid w:val="001867AE"/>
    <w:rsid w:val="00187119"/>
    <w:rsid w:val="0018712A"/>
    <w:rsid w:val="00187389"/>
    <w:rsid w:val="00187643"/>
    <w:rsid w:val="0018773F"/>
    <w:rsid w:val="00187A06"/>
    <w:rsid w:val="00187A0A"/>
    <w:rsid w:val="00187CE9"/>
    <w:rsid w:val="00190B72"/>
    <w:rsid w:val="00190F22"/>
    <w:rsid w:val="0019171B"/>
    <w:rsid w:val="0019248B"/>
    <w:rsid w:val="00192973"/>
    <w:rsid w:val="0019306C"/>
    <w:rsid w:val="00193191"/>
    <w:rsid w:val="00193253"/>
    <w:rsid w:val="00193360"/>
    <w:rsid w:val="001936BB"/>
    <w:rsid w:val="00194EAD"/>
    <w:rsid w:val="00196413"/>
    <w:rsid w:val="00196B2B"/>
    <w:rsid w:val="00196CB2"/>
    <w:rsid w:val="00196DB9"/>
    <w:rsid w:val="0019719C"/>
    <w:rsid w:val="001978E7"/>
    <w:rsid w:val="00197E5E"/>
    <w:rsid w:val="001A0151"/>
    <w:rsid w:val="001A071B"/>
    <w:rsid w:val="001A0BD3"/>
    <w:rsid w:val="001A0D1F"/>
    <w:rsid w:val="001A0E67"/>
    <w:rsid w:val="001A1300"/>
    <w:rsid w:val="001A19B9"/>
    <w:rsid w:val="001A4668"/>
    <w:rsid w:val="001A4BAA"/>
    <w:rsid w:val="001A4D00"/>
    <w:rsid w:val="001A4E0D"/>
    <w:rsid w:val="001A507B"/>
    <w:rsid w:val="001A58A2"/>
    <w:rsid w:val="001A5970"/>
    <w:rsid w:val="001A5A72"/>
    <w:rsid w:val="001A5AAB"/>
    <w:rsid w:val="001A668C"/>
    <w:rsid w:val="001A71F7"/>
    <w:rsid w:val="001A7312"/>
    <w:rsid w:val="001A7519"/>
    <w:rsid w:val="001A7CF8"/>
    <w:rsid w:val="001B0933"/>
    <w:rsid w:val="001B0989"/>
    <w:rsid w:val="001B2738"/>
    <w:rsid w:val="001B38FB"/>
    <w:rsid w:val="001B4767"/>
    <w:rsid w:val="001B48A0"/>
    <w:rsid w:val="001B4CD6"/>
    <w:rsid w:val="001B4E90"/>
    <w:rsid w:val="001B5373"/>
    <w:rsid w:val="001B5725"/>
    <w:rsid w:val="001B5A52"/>
    <w:rsid w:val="001B5C62"/>
    <w:rsid w:val="001B5C8D"/>
    <w:rsid w:val="001B5CB8"/>
    <w:rsid w:val="001C082C"/>
    <w:rsid w:val="001C1380"/>
    <w:rsid w:val="001C169D"/>
    <w:rsid w:val="001C1B0E"/>
    <w:rsid w:val="001C1F99"/>
    <w:rsid w:val="001C2038"/>
    <w:rsid w:val="001C2E09"/>
    <w:rsid w:val="001C350F"/>
    <w:rsid w:val="001C3C99"/>
    <w:rsid w:val="001C522B"/>
    <w:rsid w:val="001C57A1"/>
    <w:rsid w:val="001C5FAE"/>
    <w:rsid w:val="001C6385"/>
    <w:rsid w:val="001C6470"/>
    <w:rsid w:val="001C746A"/>
    <w:rsid w:val="001C775C"/>
    <w:rsid w:val="001D0013"/>
    <w:rsid w:val="001D0733"/>
    <w:rsid w:val="001D0776"/>
    <w:rsid w:val="001D07DF"/>
    <w:rsid w:val="001D16D5"/>
    <w:rsid w:val="001D175D"/>
    <w:rsid w:val="001D1CE0"/>
    <w:rsid w:val="001D2DE3"/>
    <w:rsid w:val="001D3130"/>
    <w:rsid w:val="001D46B7"/>
    <w:rsid w:val="001D4C09"/>
    <w:rsid w:val="001D4D81"/>
    <w:rsid w:val="001D5101"/>
    <w:rsid w:val="001D5CF0"/>
    <w:rsid w:val="001D6F07"/>
    <w:rsid w:val="001D743D"/>
    <w:rsid w:val="001E0002"/>
    <w:rsid w:val="001E0A44"/>
    <w:rsid w:val="001E0EAF"/>
    <w:rsid w:val="001E162C"/>
    <w:rsid w:val="001E176B"/>
    <w:rsid w:val="001E1882"/>
    <w:rsid w:val="001E2844"/>
    <w:rsid w:val="001E2B45"/>
    <w:rsid w:val="001E2D7E"/>
    <w:rsid w:val="001E355B"/>
    <w:rsid w:val="001E39FA"/>
    <w:rsid w:val="001E3DE6"/>
    <w:rsid w:val="001E4182"/>
    <w:rsid w:val="001E5099"/>
    <w:rsid w:val="001E538E"/>
    <w:rsid w:val="001E5594"/>
    <w:rsid w:val="001E5BC1"/>
    <w:rsid w:val="001E5D77"/>
    <w:rsid w:val="001E709D"/>
    <w:rsid w:val="001E7488"/>
    <w:rsid w:val="001E7F78"/>
    <w:rsid w:val="001F1152"/>
    <w:rsid w:val="001F1626"/>
    <w:rsid w:val="001F16A1"/>
    <w:rsid w:val="001F36AD"/>
    <w:rsid w:val="001F4149"/>
    <w:rsid w:val="001F45E0"/>
    <w:rsid w:val="001F47AE"/>
    <w:rsid w:val="001F4B16"/>
    <w:rsid w:val="001F58D0"/>
    <w:rsid w:val="001F75BC"/>
    <w:rsid w:val="0020099A"/>
    <w:rsid w:val="002011F4"/>
    <w:rsid w:val="002014AE"/>
    <w:rsid w:val="002014FA"/>
    <w:rsid w:val="00201A79"/>
    <w:rsid w:val="00203833"/>
    <w:rsid w:val="00203881"/>
    <w:rsid w:val="00203BD6"/>
    <w:rsid w:val="00205D6C"/>
    <w:rsid w:val="0020661E"/>
    <w:rsid w:val="00207500"/>
    <w:rsid w:val="002078B4"/>
    <w:rsid w:val="00210407"/>
    <w:rsid w:val="0021097F"/>
    <w:rsid w:val="002112D7"/>
    <w:rsid w:val="00211451"/>
    <w:rsid w:val="00211B93"/>
    <w:rsid w:val="002126EE"/>
    <w:rsid w:val="00212F5B"/>
    <w:rsid w:val="00213DBF"/>
    <w:rsid w:val="00213E4B"/>
    <w:rsid w:val="0021464C"/>
    <w:rsid w:val="00214C4D"/>
    <w:rsid w:val="00214ECE"/>
    <w:rsid w:val="00214F60"/>
    <w:rsid w:val="0021511B"/>
    <w:rsid w:val="00215325"/>
    <w:rsid w:val="00215DA3"/>
    <w:rsid w:val="00215EDA"/>
    <w:rsid w:val="002162BF"/>
    <w:rsid w:val="002167B3"/>
    <w:rsid w:val="00217CA0"/>
    <w:rsid w:val="002210FF"/>
    <w:rsid w:val="002211B7"/>
    <w:rsid w:val="00221D20"/>
    <w:rsid w:val="002220E6"/>
    <w:rsid w:val="002227CE"/>
    <w:rsid w:val="002227E0"/>
    <w:rsid w:val="00222BA5"/>
    <w:rsid w:val="002231A3"/>
    <w:rsid w:val="0022329E"/>
    <w:rsid w:val="002237B5"/>
    <w:rsid w:val="00225838"/>
    <w:rsid w:val="00225D4A"/>
    <w:rsid w:val="00225E53"/>
    <w:rsid w:val="00225FFD"/>
    <w:rsid w:val="00226308"/>
    <w:rsid w:val="00227D11"/>
    <w:rsid w:val="00227FD4"/>
    <w:rsid w:val="00230F88"/>
    <w:rsid w:val="00231AAB"/>
    <w:rsid w:val="0023247D"/>
    <w:rsid w:val="00232D01"/>
    <w:rsid w:val="00232E59"/>
    <w:rsid w:val="00233432"/>
    <w:rsid w:val="00233686"/>
    <w:rsid w:val="0023395D"/>
    <w:rsid w:val="00233972"/>
    <w:rsid w:val="002339E2"/>
    <w:rsid w:val="00233A96"/>
    <w:rsid w:val="00233E37"/>
    <w:rsid w:val="002368E0"/>
    <w:rsid w:val="00237C90"/>
    <w:rsid w:val="00240C4A"/>
    <w:rsid w:val="00240ECF"/>
    <w:rsid w:val="002411E8"/>
    <w:rsid w:val="00241A23"/>
    <w:rsid w:val="0024316B"/>
    <w:rsid w:val="002431EF"/>
    <w:rsid w:val="00243B50"/>
    <w:rsid w:val="00243D67"/>
    <w:rsid w:val="00244035"/>
    <w:rsid w:val="002446EE"/>
    <w:rsid w:val="00244CA8"/>
    <w:rsid w:val="00244CED"/>
    <w:rsid w:val="00244F02"/>
    <w:rsid w:val="0024618E"/>
    <w:rsid w:val="00246522"/>
    <w:rsid w:val="0024684A"/>
    <w:rsid w:val="00246C42"/>
    <w:rsid w:val="00247C44"/>
    <w:rsid w:val="00247CFD"/>
    <w:rsid w:val="00247F4B"/>
    <w:rsid w:val="0025180F"/>
    <w:rsid w:val="002519F7"/>
    <w:rsid w:val="00251B11"/>
    <w:rsid w:val="00253D68"/>
    <w:rsid w:val="002541CF"/>
    <w:rsid w:val="0025474D"/>
    <w:rsid w:val="00254782"/>
    <w:rsid w:val="00254B23"/>
    <w:rsid w:val="00254F51"/>
    <w:rsid w:val="00255684"/>
    <w:rsid w:val="002563F1"/>
    <w:rsid w:val="0025772F"/>
    <w:rsid w:val="0025783C"/>
    <w:rsid w:val="00260D93"/>
    <w:rsid w:val="00261AF4"/>
    <w:rsid w:val="00261DBC"/>
    <w:rsid w:val="002627EB"/>
    <w:rsid w:val="0026425C"/>
    <w:rsid w:val="00265165"/>
    <w:rsid w:val="00265402"/>
    <w:rsid w:val="00265E2A"/>
    <w:rsid w:val="00266695"/>
    <w:rsid w:val="002668C7"/>
    <w:rsid w:val="00266D5D"/>
    <w:rsid w:val="002676A6"/>
    <w:rsid w:val="0026783B"/>
    <w:rsid w:val="00267B7D"/>
    <w:rsid w:val="00267FCA"/>
    <w:rsid w:val="00270635"/>
    <w:rsid w:val="0027075D"/>
    <w:rsid w:val="00270C7E"/>
    <w:rsid w:val="0027156B"/>
    <w:rsid w:val="0027343B"/>
    <w:rsid w:val="0027407C"/>
    <w:rsid w:val="002746FD"/>
    <w:rsid w:val="002749CE"/>
    <w:rsid w:val="002749F6"/>
    <w:rsid w:val="002750E6"/>
    <w:rsid w:val="00275AC3"/>
    <w:rsid w:val="0027668F"/>
    <w:rsid w:val="00277AE9"/>
    <w:rsid w:val="00280188"/>
    <w:rsid w:val="00280575"/>
    <w:rsid w:val="002809AE"/>
    <w:rsid w:val="00281DAC"/>
    <w:rsid w:val="00281FEF"/>
    <w:rsid w:val="00282196"/>
    <w:rsid w:val="0028268C"/>
    <w:rsid w:val="00282C8F"/>
    <w:rsid w:val="002836AD"/>
    <w:rsid w:val="00283C00"/>
    <w:rsid w:val="00283C4D"/>
    <w:rsid w:val="00284BA1"/>
    <w:rsid w:val="00284ED8"/>
    <w:rsid w:val="00285035"/>
    <w:rsid w:val="00285E06"/>
    <w:rsid w:val="00285E55"/>
    <w:rsid w:val="00285FFD"/>
    <w:rsid w:val="002863CB"/>
    <w:rsid w:val="002864D9"/>
    <w:rsid w:val="00286B40"/>
    <w:rsid w:val="002872E1"/>
    <w:rsid w:val="002874EE"/>
    <w:rsid w:val="002877E4"/>
    <w:rsid w:val="00287C48"/>
    <w:rsid w:val="00287CA6"/>
    <w:rsid w:val="0029011A"/>
    <w:rsid w:val="002905DD"/>
    <w:rsid w:val="0029173A"/>
    <w:rsid w:val="00292638"/>
    <w:rsid w:val="00292828"/>
    <w:rsid w:val="00292C33"/>
    <w:rsid w:val="002932EC"/>
    <w:rsid w:val="00293355"/>
    <w:rsid w:val="00293A44"/>
    <w:rsid w:val="0029403F"/>
    <w:rsid w:val="002952DA"/>
    <w:rsid w:val="0029568C"/>
    <w:rsid w:val="00295EBB"/>
    <w:rsid w:val="0029630D"/>
    <w:rsid w:val="00296F39"/>
    <w:rsid w:val="0029764C"/>
    <w:rsid w:val="002A01A6"/>
    <w:rsid w:val="002A063E"/>
    <w:rsid w:val="002A0E89"/>
    <w:rsid w:val="002A1A3D"/>
    <w:rsid w:val="002A1BA1"/>
    <w:rsid w:val="002A1CB9"/>
    <w:rsid w:val="002A297C"/>
    <w:rsid w:val="002A3C3F"/>
    <w:rsid w:val="002A408B"/>
    <w:rsid w:val="002A490E"/>
    <w:rsid w:val="002A5CCA"/>
    <w:rsid w:val="002A5DE7"/>
    <w:rsid w:val="002A5F37"/>
    <w:rsid w:val="002A607E"/>
    <w:rsid w:val="002A65D9"/>
    <w:rsid w:val="002A6832"/>
    <w:rsid w:val="002A6EEB"/>
    <w:rsid w:val="002A7CEF"/>
    <w:rsid w:val="002B0499"/>
    <w:rsid w:val="002B1108"/>
    <w:rsid w:val="002B12B8"/>
    <w:rsid w:val="002B2708"/>
    <w:rsid w:val="002B30B0"/>
    <w:rsid w:val="002B4378"/>
    <w:rsid w:val="002B47DC"/>
    <w:rsid w:val="002B48E5"/>
    <w:rsid w:val="002B556F"/>
    <w:rsid w:val="002B57D1"/>
    <w:rsid w:val="002B5826"/>
    <w:rsid w:val="002B6232"/>
    <w:rsid w:val="002B6728"/>
    <w:rsid w:val="002B67C0"/>
    <w:rsid w:val="002B769A"/>
    <w:rsid w:val="002C19D5"/>
    <w:rsid w:val="002C3025"/>
    <w:rsid w:val="002C3693"/>
    <w:rsid w:val="002C461D"/>
    <w:rsid w:val="002C4849"/>
    <w:rsid w:val="002C4B87"/>
    <w:rsid w:val="002C4C9D"/>
    <w:rsid w:val="002C5471"/>
    <w:rsid w:val="002C5D9F"/>
    <w:rsid w:val="002C6162"/>
    <w:rsid w:val="002C69E5"/>
    <w:rsid w:val="002C7049"/>
    <w:rsid w:val="002C73BF"/>
    <w:rsid w:val="002C77F2"/>
    <w:rsid w:val="002C7AA4"/>
    <w:rsid w:val="002C7ACC"/>
    <w:rsid w:val="002D0C43"/>
    <w:rsid w:val="002D1095"/>
    <w:rsid w:val="002D1759"/>
    <w:rsid w:val="002D1AFF"/>
    <w:rsid w:val="002D20C1"/>
    <w:rsid w:val="002D2DA5"/>
    <w:rsid w:val="002D3034"/>
    <w:rsid w:val="002D31E7"/>
    <w:rsid w:val="002D37BA"/>
    <w:rsid w:val="002D4521"/>
    <w:rsid w:val="002D4D6D"/>
    <w:rsid w:val="002D69F0"/>
    <w:rsid w:val="002D6C48"/>
    <w:rsid w:val="002D7036"/>
    <w:rsid w:val="002D7282"/>
    <w:rsid w:val="002E06EB"/>
    <w:rsid w:val="002E17AC"/>
    <w:rsid w:val="002E1BEE"/>
    <w:rsid w:val="002E1CCA"/>
    <w:rsid w:val="002E1E22"/>
    <w:rsid w:val="002E23BF"/>
    <w:rsid w:val="002E2458"/>
    <w:rsid w:val="002E2F01"/>
    <w:rsid w:val="002E42CA"/>
    <w:rsid w:val="002E5008"/>
    <w:rsid w:val="002E608F"/>
    <w:rsid w:val="002E6CF0"/>
    <w:rsid w:val="002E6CFA"/>
    <w:rsid w:val="002E76B9"/>
    <w:rsid w:val="002E7817"/>
    <w:rsid w:val="002E78E2"/>
    <w:rsid w:val="002E7BBC"/>
    <w:rsid w:val="002F0888"/>
    <w:rsid w:val="002F0BA1"/>
    <w:rsid w:val="002F2095"/>
    <w:rsid w:val="002F2D66"/>
    <w:rsid w:val="002F2E07"/>
    <w:rsid w:val="002F2E39"/>
    <w:rsid w:val="002F2EBE"/>
    <w:rsid w:val="002F32A2"/>
    <w:rsid w:val="002F4FDA"/>
    <w:rsid w:val="002F5151"/>
    <w:rsid w:val="002F51C1"/>
    <w:rsid w:val="002F527A"/>
    <w:rsid w:val="002F5B42"/>
    <w:rsid w:val="002F5DCC"/>
    <w:rsid w:val="002F64E9"/>
    <w:rsid w:val="002F6E04"/>
    <w:rsid w:val="002F750E"/>
    <w:rsid w:val="003000B7"/>
    <w:rsid w:val="0030088C"/>
    <w:rsid w:val="00300DC6"/>
    <w:rsid w:val="00300DD0"/>
    <w:rsid w:val="00301FE7"/>
    <w:rsid w:val="00302BE1"/>
    <w:rsid w:val="00302C0B"/>
    <w:rsid w:val="00303B1C"/>
    <w:rsid w:val="0030419A"/>
    <w:rsid w:val="003041C8"/>
    <w:rsid w:val="00304951"/>
    <w:rsid w:val="00304992"/>
    <w:rsid w:val="00304F69"/>
    <w:rsid w:val="00305476"/>
    <w:rsid w:val="003061FD"/>
    <w:rsid w:val="00306E2D"/>
    <w:rsid w:val="003079FA"/>
    <w:rsid w:val="00310052"/>
    <w:rsid w:val="003105ED"/>
    <w:rsid w:val="00310795"/>
    <w:rsid w:val="00310842"/>
    <w:rsid w:val="00310886"/>
    <w:rsid w:val="00310D9A"/>
    <w:rsid w:val="00310E8B"/>
    <w:rsid w:val="00311403"/>
    <w:rsid w:val="00311523"/>
    <w:rsid w:val="00311FD4"/>
    <w:rsid w:val="00312A89"/>
    <w:rsid w:val="00312EAE"/>
    <w:rsid w:val="00313A68"/>
    <w:rsid w:val="00313A7E"/>
    <w:rsid w:val="00313C3D"/>
    <w:rsid w:val="00314ECF"/>
    <w:rsid w:val="00315E0A"/>
    <w:rsid w:val="00317529"/>
    <w:rsid w:val="003175E7"/>
    <w:rsid w:val="003175F1"/>
    <w:rsid w:val="00317F7F"/>
    <w:rsid w:val="00320FA6"/>
    <w:rsid w:val="00320FF1"/>
    <w:rsid w:val="00321520"/>
    <w:rsid w:val="003215AF"/>
    <w:rsid w:val="00321AFB"/>
    <w:rsid w:val="00321B48"/>
    <w:rsid w:val="00321EFF"/>
    <w:rsid w:val="00322ADD"/>
    <w:rsid w:val="0032300A"/>
    <w:rsid w:val="00323076"/>
    <w:rsid w:val="0032325D"/>
    <w:rsid w:val="00323D9F"/>
    <w:rsid w:val="00324515"/>
    <w:rsid w:val="00324B53"/>
    <w:rsid w:val="0032505F"/>
    <w:rsid w:val="0032533D"/>
    <w:rsid w:val="0032544A"/>
    <w:rsid w:val="00326C8C"/>
    <w:rsid w:val="003272A0"/>
    <w:rsid w:val="00327475"/>
    <w:rsid w:val="00327549"/>
    <w:rsid w:val="003279C8"/>
    <w:rsid w:val="00327E40"/>
    <w:rsid w:val="00330348"/>
    <w:rsid w:val="00330D28"/>
    <w:rsid w:val="00330E0B"/>
    <w:rsid w:val="003321DD"/>
    <w:rsid w:val="003324C1"/>
    <w:rsid w:val="00332943"/>
    <w:rsid w:val="00332C02"/>
    <w:rsid w:val="0033355B"/>
    <w:rsid w:val="00333C22"/>
    <w:rsid w:val="003340F6"/>
    <w:rsid w:val="00334E84"/>
    <w:rsid w:val="003350E6"/>
    <w:rsid w:val="003350EA"/>
    <w:rsid w:val="003369B2"/>
    <w:rsid w:val="00336B32"/>
    <w:rsid w:val="00336F95"/>
    <w:rsid w:val="0034226B"/>
    <w:rsid w:val="00343A4A"/>
    <w:rsid w:val="00344618"/>
    <w:rsid w:val="00344BD9"/>
    <w:rsid w:val="00345F13"/>
    <w:rsid w:val="00345FF1"/>
    <w:rsid w:val="00346491"/>
    <w:rsid w:val="00346868"/>
    <w:rsid w:val="003478FE"/>
    <w:rsid w:val="0034790B"/>
    <w:rsid w:val="00347B24"/>
    <w:rsid w:val="00350BDF"/>
    <w:rsid w:val="00352190"/>
    <w:rsid w:val="00353586"/>
    <w:rsid w:val="00353B83"/>
    <w:rsid w:val="003544E0"/>
    <w:rsid w:val="00354BD6"/>
    <w:rsid w:val="003553A8"/>
    <w:rsid w:val="003556F8"/>
    <w:rsid w:val="00355BE0"/>
    <w:rsid w:val="003561E4"/>
    <w:rsid w:val="00356AA2"/>
    <w:rsid w:val="00356E30"/>
    <w:rsid w:val="00356F21"/>
    <w:rsid w:val="00357A28"/>
    <w:rsid w:val="003600DB"/>
    <w:rsid w:val="00360E0A"/>
    <w:rsid w:val="003614FA"/>
    <w:rsid w:val="00362870"/>
    <w:rsid w:val="00362B2E"/>
    <w:rsid w:val="00363119"/>
    <w:rsid w:val="003631AA"/>
    <w:rsid w:val="00366965"/>
    <w:rsid w:val="00366A46"/>
    <w:rsid w:val="00366B2E"/>
    <w:rsid w:val="00366C4B"/>
    <w:rsid w:val="003671BC"/>
    <w:rsid w:val="00367C87"/>
    <w:rsid w:val="003705A3"/>
    <w:rsid w:val="003709AE"/>
    <w:rsid w:val="00370A49"/>
    <w:rsid w:val="00370BF0"/>
    <w:rsid w:val="00370EA5"/>
    <w:rsid w:val="00370EDB"/>
    <w:rsid w:val="00371847"/>
    <w:rsid w:val="00371971"/>
    <w:rsid w:val="00371D7B"/>
    <w:rsid w:val="00371E54"/>
    <w:rsid w:val="00372960"/>
    <w:rsid w:val="00372D75"/>
    <w:rsid w:val="00372E1C"/>
    <w:rsid w:val="003731CD"/>
    <w:rsid w:val="0037410A"/>
    <w:rsid w:val="00375235"/>
    <w:rsid w:val="0037576D"/>
    <w:rsid w:val="00375B46"/>
    <w:rsid w:val="003770FC"/>
    <w:rsid w:val="003774AB"/>
    <w:rsid w:val="00377816"/>
    <w:rsid w:val="00377D08"/>
    <w:rsid w:val="00377D97"/>
    <w:rsid w:val="00380A39"/>
    <w:rsid w:val="00380C96"/>
    <w:rsid w:val="0038171A"/>
    <w:rsid w:val="00381C6C"/>
    <w:rsid w:val="00381D5A"/>
    <w:rsid w:val="0038202E"/>
    <w:rsid w:val="003824BD"/>
    <w:rsid w:val="0038302E"/>
    <w:rsid w:val="003831D0"/>
    <w:rsid w:val="00383E1C"/>
    <w:rsid w:val="00384262"/>
    <w:rsid w:val="003844F6"/>
    <w:rsid w:val="00384819"/>
    <w:rsid w:val="00384B74"/>
    <w:rsid w:val="003852D1"/>
    <w:rsid w:val="00385BAF"/>
    <w:rsid w:val="00386540"/>
    <w:rsid w:val="00386641"/>
    <w:rsid w:val="00386787"/>
    <w:rsid w:val="00386A4E"/>
    <w:rsid w:val="00387118"/>
    <w:rsid w:val="003879B6"/>
    <w:rsid w:val="00387EC1"/>
    <w:rsid w:val="00390DD1"/>
    <w:rsid w:val="00391835"/>
    <w:rsid w:val="00391AB3"/>
    <w:rsid w:val="00391C3D"/>
    <w:rsid w:val="00391E5D"/>
    <w:rsid w:val="00392353"/>
    <w:rsid w:val="00392565"/>
    <w:rsid w:val="00392B62"/>
    <w:rsid w:val="00392E3B"/>
    <w:rsid w:val="0039393B"/>
    <w:rsid w:val="00394AFD"/>
    <w:rsid w:val="00395DAE"/>
    <w:rsid w:val="00395FD4"/>
    <w:rsid w:val="0039611D"/>
    <w:rsid w:val="00396328"/>
    <w:rsid w:val="003967B2"/>
    <w:rsid w:val="00396A31"/>
    <w:rsid w:val="00396E4E"/>
    <w:rsid w:val="00396F10"/>
    <w:rsid w:val="00397C90"/>
    <w:rsid w:val="00397FB8"/>
    <w:rsid w:val="003A0A93"/>
    <w:rsid w:val="003A1914"/>
    <w:rsid w:val="003A2057"/>
    <w:rsid w:val="003A285F"/>
    <w:rsid w:val="003A2AC4"/>
    <w:rsid w:val="003A2F70"/>
    <w:rsid w:val="003A3335"/>
    <w:rsid w:val="003A344E"/>
    <w:rsid w:val="003A3984"/>
    <w:rsid w:val="003A40BC"/>
    <w:rsid w:val="003A449E"/>
    <w:rsid w:val="003A44F5"/>
    <w:rsid w:val="003A4583"/>
    <w:rsid w:val="003A46A9"/>
    <w:rsid w:val="003A5A4A"/>
    <w:rsid w:val="003A5A5F"/>
    <w:rsid w:val="003A5C75"/>
    <w:rsid w:val="003A73C1"/>
    <w:rsid w:val="003B00A0"/>
    <w:rsid w:val="003B038B"/>
    <w:rsid w:val="003B0F28"/>
    <w:rsid w:val="003B129F"/>
    <w:rsid w:val="003B22B8"/>
    <w:rsid w:val="003B27A5"/>
    <w:rsid w:val="003B2A99"/>
    <w:rsid w:val="003B4486"/>
    <w:rsid w:val="003B4D1B"/>
    <w:rsid w:val="003B4D66"/>
    <w:rsid w:val="003B510B"/>
    <w:rsid w:val="003B5835"/>
    <w:rsid w:val="003B5C33"/>
    <w:rsid w:val="003B62A1"/>
    <w:rsid w:val="003B65D2"/>
    <w:rsid w:val="003B6E18"/>
    <w:rsid w:val="003B759C"/>
    <w:rsid w:val="003B766F"/>
    <w:rsid w:val="003B79DB"/>
    <w:rsid w:val="003C07A0"/>
    <w:rsid w:val="003C0891"/>
    <w:rsid w:val="003C10D6"/>
    <w:rsid w:val="003C1B01"/>
    <w:rsid w:val="003C256F"/>
    <w:rsid w:val="003C2C5C"/>
    <w:rsid w:val="003C307E"/>
    <w:rsid w:val="003C369A"/>
    <w:rsid w:val="003C3B91"/>
    <w:rsid w:val="003C3C68"/>
    <w:rsid w:val="003C4232"/>
    <w:rsid w:val="003C43FC"/>
    <w:rsid w:val="003C4449"/>
    <w:rsid w:val="003C50D6"/>
    <w:rsid w:val="003C5F1A"/>
    <w:rsid w:val="003C6060"/>
    <w:rsid w:val="003C6798"/>
    <w:rsid w:val="003C6933"/>
    <w:rsid w:val="003C6F3A"/>
    <w:rsid w:val="003C7B9A"/>
    <w:rsid w:val="003C7D26"/>
    <w:rsid w:val="003D0302"/>
    <w:rsid w:val="003D08AF"/>
    <w:rsid w:val="003D0C04"/>
    <w:rsid w:val="003D1299"/>
    <w:rsid w:val="003D1759"/>
    <w:rsid w:val="003D3947"/>
    <w:rsid w:val="003D41C8"/>
    <w:rsid w:val="003D439B"/>
    <w:rsid w:val="003D43D1"/>
    <w:rsid w:val="003D443C"/>
    <w:rsid w:val="003D5110"/>
    <w:rsid w:val="003D54A2"/>
    <w:rsid w:val="003D54F0"/>
    <w:rsid w:val="003D59E1"/>
    <w:rsid w:val="003D67A2"/>
    <w:rsid w:val="003D6CCB"/>
    <w:rsid w:val="003D7DFC"/>
    <w:rsid w:val="003E02B4"/>
    <w:rsid w:val="003E06A0"/>
    <w:rsid w:val="003E076C"/>
    <w:rsid w:val="003E0862"/>
    <w:rsid w:val="003E0B97"/>
    <w:rsid w:val="003E1006"/>
    <w:rsid w:val="003E1319"/>
    <w:rsid w:val="003E1B75"/>
    <w:rsid w:val="003E26AF"/>
    <w:rsid w:val="003E2D62"/>
    <w:rsid w:val="003E2FDB"/>
    <w:rsid w:val="003E3706"/>
    <w:rsid w:val="003E4DDB"/>
    <w:rsid w:val="003E539D"/>
    <w:rsid w:val="003E5C5E"/>
    <w:rsid w:val="003E5D13"/>
    <w:rsid w:val="003E5EF6"/>
    <w:rsid w:val="003E6E15"/>
    <w:rsid w:val="003E6FFE"/>
    <w:rsid w:val="003F0C96"/>
    <w:rsid w:val="003F12D7"/>
    <w:rsid w:val="003F1811"/>
    <w:rsid w:val="003F19CF"/>
    <w:rsid w:val="003F1CB7"/>
    <w:rsid w:val="003F23CF"/>
    <w:rsid w:val="003F2697"/>
    <w:rsid w:val="003F2B18"/>
    <w:rsid w:val="003F2DE9"/>
    <w:rsid w:val="003F309D"/>
    <w:rsid w:val="003F39DF"/>
    <w:rsid w:val="003F3D91"/>
    <w:rsid w:val="003F415C"/>
    <w:rsid w:val="003F45BD"/>
    <w:rsid w:val="003F45DD"/>
    <w:rsid w:val="003F4771"/>
    <w:rsid w:val="003F4A5E"/>
    <w:rsid w:val="003F51EA"/>
    <w:rsid w:val="003F5222"/>
    <w:rsid w:val="003F6291"/>
    <w:rsid w:val="003F6808"/>
    <w:rsid w:val="003F6B92"/>
    <w:rsid w:val="003F74BE"/>
    <w:rsid w:val="003F7721"/>
    <w:rsid w:val="003F7DC9"/>
    <w:rsid w:val="003F7DE1"/>
    <w:rsid w:val="00400E29"/>
    <w:rsid w:val="00401C1C"/>
    <w:rsid w:val="0040473E"/>
    <w:rsid w:val="00404DC9"/>
    <w:rsid w:val="004057F2"/>
    <w:rsid w:val="004071AD"/>
    <w:rsid w:val="004072C6"/>
    <w:rsid w:val="0040732F"/>
    <w:rsid w:val="004104A2"/>
    <w:rsid w:val="0041066F"/>
    <w:rsid w:val="00410CA0"/>
    <w:rsid w:val="004126F3"/>
    <w:rsid w:val="00412A97"/>
    <w:rsid w:val="00413CB2"/>
    <w:rsid w:val="0041455A"/>
    <w:rsid w:val="00414D4D"/>
    <w:rsid w:val="00417C42"/>
    <w:rsid w:val="00420045"/>
    <w:rsid w:val="004213A4"/>
    <w:rsid w:val="00421E66"/>
    <w:rsid w:val="004234C2"/>
    <w:rsid w:val="00423640"/>
    <w:rsid w:val="00423771"/>
    <w:rsid w:val="00423857"/>
    <w:rsid w:val="00423C66"/>
    <w:rsid w:val="00423D2C"/>
    <w:rsid w:val="00423DE5"/>
    <w:rsid w:val="0042436B"/>
    <w:rsid w:val="00424D01"/>
    <w:rsid w:val="00424D86"/>
    <w:rsid w:val="004254E5"/>
    <w:rsid w:val="00425F81"/>
    <w:rsid w:val="00426304"/>
    <w:rsid w:val="00427177"/>
    <w:rsid w:val="00427909"/>
    <w:rsid w:val="00427C66"/>
    <w:rsid w:val="004300DE"/>
    <w:rsid w:val="0043031B"/>
    <w:rsid w:val="004304BD"/>
    <w:rsid w:val="00430F0F"/>
    <w:rsid w:val="004313A0"/>
    <w:rsid w:val="00431F7D"/>
    <w:rsid w:val="00432B40"/>
    <w:rsid w:val="00432BA7"/>
    <w:rsid w:val="00433C6C"/>
    <w:rsid w:val="00434562"/>
    <w:rsid w:val="00434956"/>
    <w:rsid w:val="0043584D"/>
    <w:rsid w:val="00435F2D"/>
    <w:rsid w:val="00436571"/>
    <w:rsid w:val="00436F53"/>
    <w:rsid w:val="00437055"/>
    <w:rsid w:val="004374CC"/>
    <w:rsid w:val="00437AE9"/>
    <w:rsid w:val="00437B47"/>
    <w:rsid w:val="004403D4"/>
    <w:rsid w:val="004417E9"/>
    <w:rsid w:val="00441E73"/>
    <w:rsid w:val="00441FA8"/>
    <w:rsid w:val="004422BF"/>
    <w:rsid w:val="00442670"/>
    <w:rsid w:val="00442AFC"/>
    <w:rsid w:val="00443184"/>
    <w:rsid w:val="00443A2F"/>
    <w:rsid w:val="00443C6B"/>
    <w:rsid w:val="00443F44"/>
    <w:rsid w:val="00444340"/>
    <w:rsid w:val="004446B9"/>
    <w:rsid w:val="004449B5"/>
    <w:rsid w:val="0044517B"/>
    <w:rsid w:val="004462E3"/>
    <w:rsid w:val="00446E94"/>
    <w:rsid w:val="00447857"/>
    <w:rsid w:val="00451499"/>
    <w:rsid w:val="0045165B"/>
    <w:rsid w:val="00452D5D"/>
    <w:rsid w:val="00453F59"/>
    <w:rsid w:val="004545E4"/>
    <w:rsid w:val="0045477D"/>
    <w:rsid w:val="00454A77"/>
    <w:rsid w:val="00455558"/>
    <w:rsid w:val="0045648D"/>
    <w:rsid w:val="0045697E"/>
    <w:rsid w:val="00456BBA"/>
    <w:rsid w:val="00456ED2"/>
    <w:rsid w:val="00457D3E"/>
    <w:rsid w:val="00461865"/>
    <w:rsid w:val="004619D0"/>
    <w:rsid w:val="00462A79"/>
    <w:rsid w:val="00462AB9"/>
    <w:rsid w:val="004632A9"/>
    <w:rsid w:val="00463EEE"/>
    <w:rsid w:val="00464399"/>
    <w:rsid w:val="00464853"/>
    <w:rsid w:val="00465A8D"/>
    <w:rsid w:val="004666AD"/>
    <w:rsid w:val="00467398"/>
    <w:rsid w:val="004674F3"/>
    <w:rsid w:val="004675F4"/>
    <w:rsid w:val="00467A83"/>
    <w:rsid w:val="0047009E"/>
    <w:rsid w:val="004709B8"/>
    <w:rsid w:val="004716D1"/>
    <w:rsid w:val="00472015"/>
    <w:rsid w:val="004723E8"/>
    <w:rsid w:val="004743F7"/>
    <w:rsid w:val="004756B7"/>
    <w:rsid w:val="00475BFD"/>
    <w:rsid w:val="00477668"/>
    <w:rsid w:val="00477B15"/>
    <w:rsid w:val="00480402"/>
    <w:rsid w:val="00481197"/>
    <w:rsid w:val="00481424"/>
    <w:rsid w:val="004819D2"/>
    <w:rsid w:val="00481F1C"/>
    <w:rsid w:val="00482A04"/>
    <w:rsid w:val="00482BAF"/>
    <w:rsid w:val="00482E66"/>
    <w:rsid w:val="00483409"/>
    <w:rsid w:val="0048379D"/>
    <w:rsid w:val="004849BC"/>
    <w:rsid w:val="00485443"/>
    <w:rsid w:val="004854C9"/>
    <w:rsid w:val="00485A03"/>
    <w:rsid w:val="0048619B"/>
    <w:rsid w:val="00487536"/>
    <w:rsid w:val="004877A7"/>
    <w:rsid w:val="004879A0"/>
    <w:rsid w:val="00487DBB"/>
    <w:rsid w:val="004900AF"/>
    <w:rsid w:val="0049041E"/>
    <w:rsid w:val="00490C7A"/>
    <w:rsid w:val="00490D96"/>
    <w:rsid w:val="00491965"/>
    <w:rsid w:val="004919C4"/>
    <w:rsid w:val="00492E6B"/>
    <w:rsid w:val="004932AD"/>
    <w:rsid w:val="004937C6"/>
    <w:rsid w:val="00493B4B"/>
    <w:rsid w:val="00493EBF"/>
    <w:rsid w:val="00495232"/>
    <w:rsid w:val="00495618"/>
    <w:rsid w:val="00495889"/>
    <w:rsid w:val="00496049"/>
    <w:rsid w:val="00496687"/>
    <w:rsid w:val="00497904"/>
    <w:rsid w:val="00497C2D"/>
    <w:rsid w:val="00497CE4"/>
    <w:rsid w:val="004A003C"/>
    <w:rsid w:val="004A0BF6"/>
    <w:rsid w:val="004A0D79"/>
    <w:rsid w:val="004A11EB"/>
    <w:rsid w:val="004A12BA"/>
    <w:rsid w:val="004A1EFF"/>
    <w:rsid w:val="004A2297"/>
    <w:rsid w:val="004A2402"/>
    <w:rsid w:val="004A2C28"/>
    <w:rsid w:val="004A32CD"/>
    <w:rsid w:val="004A3A61"/>
    <w:rsid w:val="004A3CA4"/>
    <w:rsid w:val="004A3EDA"/>
    <w:rsid w:val="004A40F8"/>
    <w:rsid w:val="004A4907"/>
    <w:rsid w:val="004A4908"/>
    <w:rsid w:val="004A5086"/>
    <w:rsid w:val="004A54D5"/>
    <w:rsid w:val="004A5949"/>
    <w:rsid w:val="004A6276"/>
    <w:rsid w:val="004A6CAF"/>
    <w:rsid w:val="004A7C9E"/>
    <w:rsid w:val="004A7F5D"/>
    <w:rsid w:val="004B036F"/>
    <w:rsid w:val="004B086E"/>
    <w:rsid w:val="004B0C4E"/>
    <w:rsid w:val="004B206F"/>
    <w:rsid w:val="004B263C"/>
    <w:rsid w:val="004B2DEB"/>
    <w:rsid w:val="004B3574"/>
    <w:rsid w:val="004B35F9"/>
    <w:rsid w:val="004B38F6"/>
    <w:rsid w:val="004B4699"/>
    <w:rsid w:val="004B4A2E"/>
    <w:rsid w:val="004B4CEA"/>
    <w:rsid w:val="004B4FA2"/>
    <w:rsid w:val="004B5201"/>
    <w:rsid w:val="004B564B"/>
    <w:rsid w:val="004B5787"/>
    <w:rsid w:val="004B63F9"/>
    <w:rsid w:val="004B66E0"/>
    <w:rsid w:val="004B7107"/>
    <w:rsid w:val="004B746D"/>
    <w:rsid w:val="004B792D"/>
    <w:rsid w:val="004C0895"/>
    <w:rsid w:val="004C125C"/>
    <w:rsid w:val="004C2FCF"/>
    <w:rsid w:val="004C33A1"/>
    <w:rsid w:val="004C37A3"/>
    <w:rsid w:val="004C481F"/>
    <w:rsid w:val="004C4BA9"/>
    <w:rsid w:val="004C4EEF"/>
    <w:rsid w:val="004C520A"/>
    <w:rsid w:val="004C5DB3"/>
    <w:rsid w:val="004C66E0"/>
    <w:rsid w:val="004C7831"/>
    <w:rsid w:val="004C7899"/>
    <w:rsid w:val="004C7A06"/>
    <w:rsid w:val="004C7D56"/>
    <w:rsid w:val="004D039C"/>
    <w:rsid w:val="004D0D3B"/>
    <w:rsid w:val="004D1C89"/>
    <w:rsid w:val="004D1DE7"/>
    <w:rsid w:val="004D1EC8"/>
    <w:rsid w:val="004D234E"/>
    <w:rsid w:val="004D235A"/>
    <w:rsid w:val="004D2827"/>
    <w:rsid w:val="004D32B9"/>
    <w:rsid w:val="004D3586"/>
    <w:rsid w:val="004D4013"/>
    <w:rsid w:val="004D428E"/>
    <w:rsid w:val="004D44E7"/>
    <w:rsid w:val="004D466D"/>
    <w:rsid w:val="004D46B7"/>
    <w:rsid w:val="004D46CB"/>
    <w:rsid w:val="004D5A25"/>
    <w:rsid w:val="004D5EAA"/>
    <w:rsid w:val="004D71FC"/>
    <w:rsid w:val="004D74A1"/>
    <w:rsid w:val="004E0A13"/>
    <w:rsid w:val="004E115B"/>
    <w:rsid w:val="004E12B6"/>
    <w:rsid w:val="004E12F0"/>
    <w:rsid w:val="004E1D3D"/>
    <w:rsid w:val="004E2B55"/>
    <w:rsid w:val="004E3978"/>
    <w:rsid w:val="004E7F02"/>
    <w:rsid w:val="004F0FFA"/>
    <w:rsid w:val="004F1DAF"/>
    <w:rsid w:val="004F2349"/>
    <w:rsid w:val="004F23D5"/>
    <w:rsid w:val="004F32ED"/>
    <w:rsid w:val="004F37C2"/>
    <w:rsid w:val="004F3B6E"/>
    <w:rsid w:val="004F427C"/>
    <w:rsid w:val="004F4C9D"/>
    <w:rsid w:val="004F5FBF"/>
    <w:rsid w:val="004F6190"/>
    <w:rsid w:val="004F6314"/>
    <w:rsid w:val="004F63EA"/>
    <w:rsid w:val="004F6BF5"/>
    <w:rsid w:val="00500283"/>
    <w:rsid w:val="00500E61"/>
    <w:rsid w:val="005029F8"/>
    <w:rsid w:val="00503351"/>
    <w:rsid w:val="005033C2"/>
    <w:rsid w:val="00506822"/>
    <w:rsid w:val="005069B1"/>
    <w:rsid w:val="00506B65"/>
    <w:rsid w:val="00506C44"/>
    <w:rsid w:val="005073F1"/>
    <w:rsid w:val="00507509"/>
    <w:rsid w:val="0051011F"/>
    <w:rsid w:val="00510B81"/>
    <w:rsid w:val="00511F7B"/>
    <w:rsid w:val="00512290"/>
    <w:rsid w:val="0051390F"/>
    <w:rsid w:val="00514300"/>
    <w:rsid w:val="00515186"/>
    <w:rsid w:val="00515374"/>
    <w:rsid w:val="00515CA8"/>
    <w:rsid w:val="0051653A"/>
    <w:rsid w:val="00520C8A"/>
    <w:rsid w:val="00521875"/>
    <w:rsid w:val="00523387"/>
    <w:rsid w:val="0052458A"/>
    <w:rsid w:val="0052482F"/>
    <w:rsid w:val="00524E9A"/>
    <w:rsid w:val="0052511A"/>
    <w:rsid w:val="005255B4"/>
    <w:rsid w:val="00525651"/>
    <w:rsid w:val="00526A22"/>
    <w:rsid w:val="00526B00"/>
    <w:rsid w:val="0052762B"/>
    <w:rsid w:val="005277E8"/>
    <w:rsid w:val="0052795F"/>
    <w:rsid w:val="00527A3A"/>
    <w:rsid w:val="00530000"/>
    <w:rsid w:val="00530846"/>
    <w:rsid w:val="00531870"/>
    <w:rsid w:val="00532426"/>
    <w:rsid w:val="00533143"/>
    <w:rsid w:val="005335B4"/>
    <w:rsid w:val="005337B1"/>
    <w:rsid w:val="005340FF"/>
    <w:rsid w:val="00534398"/>
    <w:rsid w:val="005344F5"/>
    <w:rsid w:val="00534756"/>
    <w:rsid w:val="00534E78"/>
    <w:rsid w:val="0053576A"/>
    <w:rsid w:val="005369F6"/>
    <w:rsid w:val="005370CF"/>
    <w:rsid w:val="005379B7"/>
    <w:rsid w:val="005400A4"/>
    <w:rsid w:val="0054073F"/>
    <w:rsid w:val="00542550"/>
    <w:rsid w:val="005429C7"/>
    <w:rsid w:val="00543157"/>
    <w:rsid w:val="00543549"/>
    <w:rsid w:val="005435DA"/>
    <w:rsid w:val="00543B2D"/>
    <w:rsid w:val="00544831"/>
    <w:rsid w:val="005452F2"/>
    <w:rsid w:val="00546486"/>
    <w:rsid w:val="0054686D"/>
    <w:rsid w:val="00546914"/>
    <w:rsid w:val="00547313"/>
    <w:rsid w:val="005476DD"/>
    <w:rsid w:val="00547935"/>
    <w:rsid w:val="00547A15"/>
    <w:rsid w:val="005505EE"/>
    <w:rsid w:val="005506C6"/>
    <w:rsid w:val="00550AB4"/>
    <w:rsid w:val="0055100C"/>
    <w:rsid w:val="005516F8"/>
    <w:rsid w:val="0055218A"/>
    <w:rsid w:val="005521D9"/>
    <w:rsid w:val="00553385"/>
    <w:rsid w:val="00553419"/>
    <w:rsid w:val="005537B7"/>
    <w:rsid w:val="00553F22"/>
    <w:rsid w:val="00554312"/>
    <w:rsid w:val="00555364"/>
    <w:rsid w:val="00555575"/>
    <w:rsid w:val="005556CA"/>
    <w:rsid w:val="00555A3C"/>
    <w:rsid w:val="00555E51"/>
    <w:rsid w:val="00556278"/>
    <w:rsid w:val="00557307"/>
    <w:rsid w:val="0055798E"/>
    <w:rsid w:val="005604A9"/>
    <w:rsid w:val="00560BF4"/>
    <w:rsid w:val="00560C91"/>
    <w:rsid w:val="00560DAC"/>
    <w:rsid w:val="0056153F"/>
    <w:rsid w:val="00561F8F"/>
    <w:rsid w:val="00562B17"/>
    <w:rsid w:val="00562C7E"/>
    <w:rsid w:val="00563532"/>
    <w:rsid w:val="00564656"/>
    <w:rsid w:val="00564714"/>
    <w:rsid w:val="00564C71"/>
    <w:rsid w:val="00564EB6"/>
    <w:rsid w:val="00566534"/>
    <w:rsid w:val="00567046"/>
    <w:rsid w:val="0056772A"/>
    <w:rsid w:val="00567B4B"/>
    <w:rsid w:val="005711FF"/>
    <w:rsid w:val="00571FA2"/>
    <w:rsid w:val="00572829"/>
    <w:rsid w:val="00572B54"/>
    <w:rsid w:val="00572B86"/>
    <w:rsid w:val="00572D02"/>
    <w:rsid w:val="00573730"/>
    <w:rsid w:val="0057469E"/>
    <w:rsid w:val="00574E5F"/>
    <w:rsid w:val="00575194"/>
    <w:rsid w:val="005754BA"/>
    <w:rsid w:val="00576DF5"/>
    <w:rsid w:val="00577B09"/>
    <w:rsid w:val="005801DA"/>
    <w:rsid w:val="0058045F"/>
    <w:rsid w:val="005805A5"/>
    <w:rsid w:val="00580ABD"/>
    <w:rsid w:val="00580BAC"/>
    <w:rsid w:val="00581D93"/>
    <w:rsid w:val="00582144"/>
    <w:rsid w:val="00582FA0"/>
    <w:rsid w:val="0058347C"/>
    <w:rsid w:val="005836A7"/>
    <w:rsid w:val="00583B2B"/>
    <w:rsid w:val="00583BB0"/>
    <w:rsid w:val="00586680"/>
    <w:rsid w:val="00586B23"/>
    <w:rsid w:val="0058713B"/>
    <w:rsid w:val="00587544"/>
    <w:rsid w:val="00587800"/>
    <w:rsid w:val="00587E9E"/>
    <w:rsid w:val="0059127B"/>
    <w:rsid w:val="00591E17"/>
    <w:rsid w:val="00591E86"/>
    <w:rsid w:val="0059488F"/>
    <w:rsid w:val="005948C9"/>
    <w:rsid w:val="00594C2C"/>
    <w:rsid w:val="00594E05"/>
    <w:rsid w:val="00595BAB"/>
    <w:rsid w:val="005969C9"/>
    <w:rsid w:val="00596DE2"/>
    <w:rsid w:val="00597373"/>
    <w:rsid w:val="0059789F"/>
    <w:rsid w:val="005A00F2"/>
    <w:rsid w:val="005A143E"/>
    <w:rsid w:val="005A345E"/>
    <w:rsid w:val="005A361E"/>
    <w:rsid w:val="005A3752"/>
    <w:rsid w:val="005A404A"/>
    <w:rsid w:val="005A439C"/>
    <w:rsid w:val="005A5320"/>
    <w:rsid w:val="005A5336"/>
    <w:rsid w:val="005A6B32"/>
    <w:rsid w:val="005A6D7D"/>
    <w:rsid w:val="005A7130"/>
    <w:rsid w:val="005A718E"/>
    <w:rsid w:val="005A79E1"/>
    <w:rsid w:val="005A7A95"/>
    <w:rsid w:val="005B0152"/>
    <w:rsid w:val="005B047B"/>
    <w:rsid w:val="005B0518"/>
    <w:rsid w:val="005B077F"/>
    <w:rsid w:val="005B0CC8"/>
    <w:rsid w:val="005B0E8C"/>
    <w:rsid w:val="005B19DF"/>
    <w:rsid w:val="005B1A9C"/>
    <w:rsid w:val="005B1EFA"/>
    <w:rsid w:val="005B29D4"/>
    <w:rsid w:val="005B3044"/>
    <w:rsid w:val="005B30E0"/>
    <w:rsid w:val="005B3E26"/>
    <w:rsid w:val="005B593B"/>
    <w:rsid w:val="005B5AB8"/>
    <w:rsid w:val="005B5DB9"/>
    <w:rsid w:val="005B5E2B"/>
    <w:rsid w:val="005B6909"/>
    <w:rsid w:val="005B7367"/>
    <w:rsid w:val="005C00A3"/>
    <w:rsid w:val="005C102D"/>
    <w:rsid w:val="005C1FC8"/>
    <w:rsid w:val="005C2BBE"/>
    <w:rsid w:val="005C2FBF"/>
    <w:rsid w:val="005C3605"/>
    <w:rsid w:val="005C3E08"/>
    <w:rsid w:val="005C4D24"/>
    <w:rsid w:val="005C4DD3"/>
    <w:rsid w:val="005C5335"/>
    <w:rsid w:val="005C585C"/>
    <w:rsid w:val="005C66FB"/>
    <w:rsid w:val="005C6AEC"/>
    <w:rsid w:val="005C6E43"/>
    <w:rsid w:val="005C7652"/>
    <w:rsid w:val="005C77D9"/>
    <w:rsid w:val="005C78B7"/>
    <w:rsid w:val="005D0E44"/>
    <w:rsid w:val="005D1556"/>
    <w:rsid w:val="005D2497"/>
    <w:rsid w:val="005D2B21"/>
    <w:rsid w:val="005D4504"/>
    <w:rsid w:val="005D4725"/>
    <w:rsid w:val="005D4B0C"/>
    <w:rsid w:val="005D5C98"/>
    <w:rsid w:val="005D6126"/>
    <w:rsid w:val="005D69FE"/>
    <w:rsid w:val="005D75FE"/>
    <w:rsid w:val="005D7C31"/>
    <w:rsid w:val="005E054D"/>
    <w:rsid w:val="005E0E7C"/>
    <w:rsid w:val="005E10A6"/>
    <w:rsid w:val="005E1B34"/>
    <w:rsid w:val="005E3EAF"/>
    <w:rsid w:val="005E413D"/>
    <w:rsid w:val="005E550F"/>
    <w:rsid w:val="005E599C"/>
    <w:rsid w:val="005E600D"/>
    <w:rsid w:val="005E6057"/>
    <w:rsid w:val="005E6A2B"/>
    <w:rsid w:val="005E73F5"/>
    <w:rsid w:val="005F0D1B"/>
    <w:rsid w:val="005F1857"/>
    <w:rsid w:val="005F1B89"/>
    <w:rsid w:val="005F27CC"/>
    <w:rsid w:val="005F35B7"/>
    <w:rsid w:val="005F3A69"/>
    <w:rsid w:val="005F3A6A"/>
    <w:rsid w:val="005F3E1B"/>
    <w:rsid w:val="005F3F4D"/>
    <w:rsid w:val="005F4037"/>
    <w:rsid w:val="005F4ECD"/>
    <w:rsid w:val="005F5723"/>
    <w:rsid w:val="005F65B3"/>
    <w:rsid w:val="005F661F"/>
    <w:rsid w:val="005F72A6"/>
    <w:rsid w:val="005F7960"/>
    <w:rsid w:val="005F7B09"/>
    <w:rsid w:val="00600F6A"/>
    <w:rsid w:val="0060121A"/>
    <w:rsid w:val="006025B8"/>
    <w:rsid w:val="00602C23"/>
    <w:rsid w:val="00602D41"/>
    <w:rsid w:val="00602E0B"/>
    <w:rsid w:val="00602FD9"/>
    <w:rsid w:val="00603583"/>
    <w:rsid w:val="006039D1"/>
    <w:rsid w:val="00603A93"/>
    <w:rsid w:val="006041F5"/>
    <w:rsid w:val="00604F57"/>
    <w:rsid w:val="006062CD"/>
    <w:rsid w:val="00606EF6"/>
    <w:rsid w:val="00607052"/>
    <w:rsid w:val="0060748C"/>
    <w:rsid w:val="0060752C"/>
    <w:rsid w:val="00607BFD"/>
    <w:rsid w:val="00607C1B"/>
    <w:rsid w:val="00607D3F"/>
    <w:rsid w:val="00607E96"/>
    <w:rsid w:val="006102BF"/>
    <w:rsid w:val="00610ADB"/>
    <w:rsid w:val="00610F02"/>
    <w:rsid w:val="00610F5A"/>
    <w:rsid w:val="00611563"/>
    <w:rsid w:val="00611FB5"/>
    <w:rsid w:val="006131DC"/>
    <w:rsid w:val="0061377D"/>
    <w:rsid w:val="006147D5"/>
    <w:rsid w:val="00615194"/>
    <w:rsid w:val="006155EE"/>
    <w:rsid w:val="00615979"/>
    <w:rsid w:val="00615D52"/>
    <w:rsid w:val="00616578"/>
    <w:rsid w:val="006168AE"/>
    <w:rsid w:val="00616B9D"/>
    <w:rsid w:val="00616EA0"/>
    <w:rsid w:val="00616FAA"/>
    <w:rsid w:val="0061775F"/>
    <w:rsid w:val="006178C1"/>
    <w:rsid w:val="00617AC6"/>
    <w:rsid w:val="00617D1D"/>
    <w:rsid w:val="00617D49"/>
    <w:rsid w:val="00617DE3"/>
    <w:rsid w:val="00620941"/>
    <w:rsid w:val="006210FC"/>
    <w:rsid w:val="00621AA8"/>
    <w:rsid w:val="006220A5"/>
    <w:rsid w:val="00622B30"/>
    <w:rsid w:val="006230D0"/>
    <w:rsid w:val="00623855"/>
    <w:rsid w:val="006239BC"/>
    <w:rsid w:val="006242D1"/>
    <w:rsid w:val="00624951"/>
    <w:rsid w:val="0062500C"/>
    <w:rsid w:val="00625447"/>
    <w:rsid w:val="00625611"/>
    <w:rsid w:val="0062663B"/>
    <w:rsid w:val="00626D7E"/>
    <w:rsid w:val="00626D8D"/>
    <w:rsid w:val="006271B2"/>
    <w:rsid w:val="0062774E"/>
    <w:rsid w:val="006279AD"/>
    <w:rsid w:val="00627C93"/>
    <w:rsid w:val="006309E6"/>
    <w:rsid w:val="00630A48"/>
    <w:rsid w:val="00631227"/>
    <w:rsid w:val="00631A56"/>
    <w:rsid w:val="00631A7D"/>
    <w:rsid w:val="00631F15"/>
    <w:rsid w:val="00632552"/>
    <w:rsid w:val="006326DA"/>
    <w:rsid w:val="00633161"/>
    <w:rsid w:val="006335FE"/>
    <w:rsid w:val="00634888"/>
    <w:rsid w:val="00634A82"/>
    <w:rsid w:val="00634E50"/>
    <w:rsid w:val="006351B0"/>
    <w:rsid w:val="0063595D"/>
    <w:rsid w:val="00635B45"/>
    <w:rsid w:val="00635E05"/>
    <w:rsid w:val="0063611E"/>
    <w:rsid w:val="006362D9"/>
    <w:rsid w:val="00636CD1"/>
    <w:rsid w:val="00637316"/>
    <w:rsid w:val="0063734B"/>
    <w:rsid w:val="00640B5B"/>
    <w:rsid w:val="00640C8C"/>
    <w:rsid w:val="00642B60"/>
    <w:rsid w:val="00643096"/>
    <w:rsid w:val="00644683"/>
    <w:rsid w:val="00644D49"/>
    <w:rsid w:val="00644E0D"/>
    <w:rsid w:val="00645287"/>
    <w:rsid w:val="00645ACE"/>
    <w:rsid w:val="00646855"/>
    <w:rsid w:val="00646E7B"/>
    <w:rsid w:val="006502C3"/>
    <w:rsid w:val="0065039D"/>
    <w:rsid w:val="00652691"/>
    <w:rsid w:val="00652CD7"/>
    <w:rsid w:val="00652DAF"/>
    <w:rsid w:val="0065330B"/>
    <w:rsid w:val="00653924"/>
    <w:rsid w:val="00653BC3"/>
    <w:rsid w:val="0065405D"/>
    <w:rsid w:val="00654911"/>
    <w:rsid w:val="0065496A"/>
    <w:rsid w:val="00655871"/>
    <w:rsid w:val="00655CB2"/>
    <w:rsid w:val="006560E3"/>
    <w:rsid w:val="006563CA"/>
    <w:rsid w:val="00656583"/>
    <w:rsid w:val="00656F43"/>
    <w:rsid w:val="006606F0"/>
    <w:rsid w:val="006608FC"/>
    <w:rsid w:val="00661812"/>
    <w:rsid w:val="00661F0E"/>
    <w:rsid w:val="00661F71"/>
    <w:rsid w:val="00662CAC"/>
    <w:rsid w:val="0066315C"/>
    <w:rsid w:val="006632C6"/>
    <w:rsid w:val="00663514"/>
    <w:rsid w:val="00663AFD"/>
    <w:rsid w:val="00665E5B"/>
    <w:rsid w:val="00666250"/>
    <w:rsid w:val="00666A8C"/>
    <w:rsid w:val="00666E72"/>
    <w:rsid w:val="00667180"/>
    <w:rsid w:val="00667332"/>
    <w:rsid w:val="00670190"/>
    <w:rsid w:val="0067035F"/>
    <w:rsid w:val="006714F6"/>
    <w:rsid w:val="00671725"/>
    <w:rsid w:val="00671CFF"/>
    <w:rsid w:val="00672CC4"/>
    <w:rsid w:val="00673B51"/>
    <w:rsid w:val="0067449F"/>
    <w:rsid w:val="006745EA"/>
    <w:rsid w:val="00674E9A"/>
    <w:rsid w:val="00675224"/>
    <w:rsid w:val="006764D4"/>
    <w:rsid w:val="00676827"/>
    <w:rsid w:val="00676ACD"/>
    <w:rsid w:val="00676E07"/>
    <w:rsid w:val="00677A47"/>
    <w:rsid w:val="00677C39"/>
    <w:rsid w:val="00677EAE"/>
    <w:rsid w:val="0068084C"/>
    <w:rsid w:val="00680ACE"/>
    <w:rsid w:val="0068135F"/>
    <w:rsid w:val="00682775"/>
    <w:rsid w:val="00682815"/>
    <w:rsid w:val="00682968"/>
    <w:rsid w:val="00683283"/>
    <w:rsid w:val="0068354E"/>
    <w:rsid w:val="00683AC0"/>
    <w:rsid w:val="00683F9C"/>
    <w:rsid w:val="0068489A"/>
    <w:rsid w:val="00684951"/>
    <w:rsid w:val="00684BCB"/>
    <w:rsid w:val="00684C20"/>
    <w:rsid w:val="00684E41"/>
    <w:rsid w:val="00684F0B"/>
    <w:rsid w:val="0068566C"/>
    <w:rsid w:val="00685CCB"/>
    <w:rsid w:val="006874D1"/>
    <w:rsid w:val="00690420"/>
    <w:rsid w:val="00690A9C"/>
    <w:rsid w:val="00690DDF"/>
    <w:rsid w:val="00690F1C"/>
    <w:rsid w:val="006913B1"/>
    <w:rsid w:val="00691AA4"/>
    <w:rsid w:val="00691D8D"/>
    <w:rsid w:val="006920BD"/>
    <w:rsid w:val="006920FA"/>
    <w:rsid w:val="00692C71"/>
    <w:rsid w:val="00692D47"/>
    <w:rsid w:val="00692FBC"/>
    <w:rsid w:val="00693658"/>
    <w:rsid w:val="00693C08"/>
    <w:rsid w:val="00693C60"/>
    <w:rsid w:val="00694271"/>
    <w:rsid w:val="00694B7F"/>
    <w:rsid w:val="006955D3"/>
    <w:rsid w:val="0069593A"/>
    <w:rsid w:val="006959D4"/>
    <w:rsid w:val="00696310"/>
    <w:rsid w:val="00697E1F"/>
    <w:rsid w:val="006A0912"/>
    <w:rsid w:val="006A0972"/>
    <w:rsid w:val="006A0BA1"/>
    <w:rsid w:val="006A1038"/>
    <w:rsid w:val="006A11E3"/>
    <w:rsid w:val="006A2592"/>
    <w:rsid w:val="006A25BF"/>
    <w:rsid w:val="006A263B"/>
    <w:rsid w:val="006A2855"/>
    <w:rsid w:val="006A34D9"/>
    <w:rsid w:val="006A424C"/>
    <w:rsid w:val="006A4B31"/>
    <w:rsid w:val="006A4F07"/>
    <w:rsid w:val="006A4FA7"/>
    <w:rsid w:val="006A5014"/>
    <w:rsid w:val="006A56EC"/>
    <w:rsid w:val="006A595E"/>
    <w:rsid w:val="006A5A4F"/>
    <w:rsid w:val="006A6B6A"/>
    <w:rsid w:val="006A72CB"/>
    <w:rsid w:val="006A765C"/>
    <w:rsid w:val="006A77A2"/>
    <w:rsid w:val="006B05EC"/>
    <w:rsid w:val="006B10E6"/>
    <w:rsid w:val="006B124C"/>
    <w:rsid w:val="006B2C1F"/>
    <w:rsid w:val="006B3732"/>
    <w:rsid w:val="006B3F92"/>
    <w:rsid w:val="006B4862"/>
    <w:rsid w:val="006B623E"/>
    <w:rsid w:val="006B673A"/>
    <w:rsid w:val="006B6748"/>
    <w:rsid w:val="006B6788"/>
    <w:rsid w:val="006B6F66"/>
    <w:rsid w:val="006B793C"/>
    <w:rsid w:val="006C061B"/>
    <w:rsid w:val="006C1C09"/>
    <w:rsid w:val="006C20F8"/>
    <w:rsid w:val="006C2563"/>
    <w:rsid w:val="006C2E30"/>
    <w:rsid w:val="006C3CD5"/>
    <w:rsid w:val="006C5C2B"/>
    <w:rsid w:val="006C6C1F"/>
    <w:rsid w:val="006C6F88"/>
    <w:rsid w:val="006C7598"/>
    <w:rsid w:val="006D038B"/>
    <w:rsid w:val="006D18C1"/>
    <w:rsid w:val="006D18D4"/>
    <w:rsid w:val="006D278A"/>
    <w:rsid w:val="006D3EE6"/>
    <w:rsid w:val="006D42AE"/>
    <w:rsid w:val="006D50CB"/>
    <w:rsid w:val="006D549C"/>
    <w:rsid w:val="006D7270"/>
    <w:rsid w:val="006D73EC"/>
    <w:rsid w:val="006D79AA"/>
    <w:rsid w:val="006D7DBA"/>
    <w:rsid w:val="006E0159"/>
    <w:rsid w:val="006E01EB"/>
    <w:rsid w:val="006E0354"/>
    <w:rsid w:val="006E04D1"/>
    <w:rsid w:val="006E2028"/>
    <w:rsid w:val="006E20C6"/>
    <w:rsid w:val="006E2366"/>
    <w:rsid w:val="006E261D"/>
    <w:rsid w:val="006E340E"/>
    <w:rsid w:val="006E4FDB"/>
    <w:rsid w:val="006E5015"/>
    <w:rsid w:val="006E5A2F"/>
    <w:rsid w:val="006E5F5B"/>
    <w:rsid w:val="006E6A82"/>
    <w:rsid w:val="006E77BA"/>
    <w:rsid w:val="006F09BF"/>
    <w:rsid w:val="006F0B9F"/>
    <w:rsid w:val="006F0E6F"/>
    <w:rsid w:val="006F15CA"/>
    <w:rsid w:val="006F25E7"/>
    <w:rsid w:val="006F2626"/>
    <w:rsid w:val="006F2DD4"/>
    <w:rsid w:val="006F3E06"/>
    <w:rsid w:val="006F3F0E"/>
    <w:rsid w:val="006F45F8"/>
    <w:rsid w:val="006F4B15"/>
    <w:rsid w:val="006F4D61"/>
    <w:rsid w:val="006F4F84"/>
    <w:rsid w:val="006F5B09"/>
    <w:rsid w:val="006F610B"/>
    <w:rsid w:val="006F6174"/>
    <w:rsid w:val="006F6537"/>
    <w:rsid w:val="006F6603"/>
    <w:rsid w:val="006F6880"/>
    <w:rsid w:val="006F6AC3"/>
    <w:rsid w:val="006F75D4"/>
    <w:rsid w:val="006F7C74"/>
    <w:rsid w:val="00700207"/>
    <w:rsid w:val="00700674"/>
    <w:rsid w:val="007014B0"/>
    <w:rsid w:val="00702694"/>
    <w:rsid w:val="007046CA"/>
    <w:rsid w:val="00704D3F"/>
    <w:rsid w:val="00705476"/>
    <w:rsid w:val="00705FCB"/>
    <w:rsid w:val="007063FA"/>
    <w:rsid w:val="007065C6"/>
    <w:rsid w:val="0070732F"/>
    <w:rsid w:val="00707666"/>
    <w:rsid w:val="007077D4"/>
    <w:rsid w:val="00707D76"/>
    <w:rsid w:val="00707F31"/>
    <w:rsid w:val="00712561"/>
    <w:rsid w:val="007127ED"/>
    <w:rsid w:val="00713C16"/>
    <w:rsid w:val="00713F4D"/>
    <w:rsid w:val="0071473A"/>
    <w:rsid w:val="00715312"/>
    <w:rsid w:val="0071601C"/>
    <w:rsid w:val="00717293"/>
    <w:rsid w:val="00720882"/>
    <w:rsid w:val="0072106A"/>
    <w:rsid w:val="00722D47"/>
    <w:rsid w:val="0072392C"/>
    <w:rsid w:val="00723A98"/>
    <w:rsid w:val="00723F9A"/>
    <w:rsid w:val="00724047"/>
    <w:rsid w:val="007244C1"/>
    <w:rsid w:val="00724977"/>
    <w:rsid w:val="007258AD"/>
    <w:rsid w:val="00725C1C"/>
    <w:rsid w:val="007268B2"/>
    <w:rsid w:val="00727993"/>
    <w:rsid w:val="00727A8A"/>
    <w:rsid w:val="00727D50"/>
    <w:rsid w:val="00727EC1"/>
    <w:rsid w:val="00727F04"/>
    <w:rsid w:val="007302B0"/>
    <w:rsid w:val="00730794"/>
    <w:rsid w:val="007309F5"/>
    <w:rsid w:val="00730E52"/>
    <w:rsid w:val="00731E03"/>
    <w:rsid w:val="00731EBE"/>
    <w:rsid w:val="007329A2"/>
    <w:rsid w:val="00732D8B"/>
    <w:rsid w:val="00732E52"/>
    <w:rsid w:val="00733E23"/>
    <w:rsid w:val="00734302"/>
    <w:rsid w:val="007343B6"/>
    <w:rsid w:val="00734869"/>
    <w:rsid w:val="00734D80"/>
    <w:rsid w:val="00735F25"/>
    <w:rsid w:val="00736308"/>
    <w:rsid w:val="00736FB1"/>
    <w:rsid w:val="0073738E"/>
    <w:rsid w:val="00737467"/>
    <w:rsid w:val="00740A1B"/>
    <w:rsid w:val="007412F0"/>
    <w:rsid w:val="00741B51"/>
    <w:rsid w:val="00741D46"/>
    <w:rsid w:val="007424B7"/>
    <w:rsid w:val="007424F4"/>
    <w:rsid w:val="00742DBE"/>
    <w:rsid w:val="00743130"/>
    <w:rsid w:val="0074467E"/>
    <w:rsid w:val="0074474A"/>
    <w:rsid w:val="007463FB"/>
    <w:rsid w:val="00746AA9"/>
    <w:rsid w:val="00746F04"/>
    <w:rsid w:val="00747D69"/>
    <w:rsid w:val="0075007E"/>
    <w:rsid w:val="00750222"/>
    <w:rsid w:val="00750336"/>
    <w:rsid w:val="007513C6"/>
    <w:rsid w:val="00751749"/>
    <w:rsid w:val="00752112"/>
    <w:rsid w:val="0075225F"/>
    <w:rsid w:val="00753A55"/>
    <w:rsid w:val="00753BB4"/>
    <w:rsid w:val="00753D26"/>
    <w:rsid w:val="00753F70"/>
    <w:rsid w:val="007540AB"/>
    <w:rsid w:val="0075416D"/>
    <w:rsid w:val="007541E0"/>
    <w:rsid w:val="00754EF8"/>
    <w:rsid w:val="00755B8D"/>
    <w:rsid w:val="007563A4"/>
    <w:rsid w:val="00756AAA"/>
    <w:rsid w:val="00756CAB"/>
    <w:rsid w:val="007571D4"/>
    <w:rsid w:val="0075732B"/>
    <w:rsid w:val="00757928"/>
    <w:rsid w:val="00761D47"/>
    <w:rsid w:val="007628DD"/>
    <w:rsid w:val="00762DCC"/>
    <w:rsid w:val="0076345C"/>
    <w:rsid w:val="00765082"/>
    <w:rsid w:val="00765411"/>
    <w:rsid w:val="007654B5"/>
    <w:rsid w:val="00765830"/>
    <w:rsid w:val="00766705"/>
    <w:rsid w:val="00766B64"/>
    <w:rsid w:val="007670F1"/>
    <w:rsid w:val="00770737"/>
    <w:rsid w:val="007710DB"/>
    <w:rsid w:val="00771A06"/>
    <w:rsid w:val="00772F26"/>
    <w:rsid w:val="00774CFB"/>
    <w:rsid w:val="0077798C"/>
    <w:rsid w:val="00777B04"/>
    <w:rsid w:val="00780B2E"/>
    <w:rsid w:val="007812F9"/>
    <w:rsid w:val="0078171C"/>
    <w:rsid w:val="007820D3"/>
    <w:rsid w:val="00782242"/>
    <w:rsid w:val="0078394C"/>
    <w:rsid w:val="00784261"/>
    <w:rsid w:val="007846AC"/>
    <w:rsid w:val="00784E90"/>
    <w:rsid w:val="00785166"/>
    <w:rsid w:val="0078549F"/>
    <w:rsid w:val="0078570C"/>
    <w:rsid w:val="0078661B"/>
    <w:rsid w:val="00786A9B"/>
    <w:rsid w:val="007900BA"/>
    <w:rsid w:val="00790188"/>
    <w:rsid w:val="00790885"/>
    <w:rsid w:val="00791D29"/>
    <w:rsid w:val="0079228C"/>
    <w:rsid w:val="00792496"/>
    <w:rsid w:val="007926FD"/>
    <w:rsid w:val="00793619"/>
    <w:rsid w:val="00793C60"/>
    <w:rsid w:val="00793D9A"/>
    <w:rsid w:val="00793FFE"/>
    <w:rsid w:val="007946DA"/>
    <w:rsid w:val="00795077"/>
    <w:rsid w:val="007950E3"/>
    <w:rsid w:val="007962A7"/>
    <w:rsid w:val="0079653C"/>
    <w:rsid w:val="00797347"/>
    <w:rsid w:val="00797D92"/>
    <w:rsid w:val="007A053E"/>
    <w:rsid w:val="007A1303"/>
    <w:rsid w:val="007A17A3"/>
    <w:rsid w:val="007A1927"/>
    <w:rsid w:val="007A3348"/>
    <w:rsid w:val="007A3DD7"/>
    <w:rsid w:val="007A4893"/>
    <w:rsid w:val="007A520B"/>
    <w:rsid w:val="007A6788"/>
    <w:rsid w:val="007A6B71"/>
    <w:rsid w:val="007A758C"/>
    <w:rsid w:val="007B0101"/>
    <w:rsid w:val="007B01E6"/>
    <w:rsid w:val="007B0953"/>
    <w:rsid w:val="007B1010"/>
    <w:rsid w:val="007B1426"/>
    <w:rsid w:val="007B1461"/>
    <w:rsid w:val="007B1C57"/>
    <w:rsid w:val="007B1D0C"/>
    <w:rsid w:val="007B338C"/>
    <w:rsid w:val="007B36BA"/>
    <w:rsid w:val="007B46C7"/>
    <w:rsid w:val="007B4774"/>
    <w:rsid w:val="007B4940"/>
    <w:rsid w:val="007B4B9F"/>
    <w:rsid w:val="007B5C04"/>
    <w:rsid w:val="007B6592"/>
    <w:rsid w:val="007B7076"/>
    <w:rsid w:val="007B76F9"/>
    <w:rsid w:val="007B7AD1"/>
    <w:rsid w:val="007B7B19"/>
    <w:rsid w:val="007C01FB"/>
    <w:rsid w:val="007C0854"/>
    <w:rsid w:val="007C0868"/>
    <w:rsid w:val="007C0DE4"/>
    <w:rsid w:val="007C1954"/>
    <w:rsid w:val="007C2A49"/>
    <w:rsid w:val="007C432C"/>
    <w:rsid w:val="007C4C16"/>
    <w:rsid w:val="007C4FA9"/>
    <w:rsid w:val="007C5067"/>
    <w:rsid w:val="007C5736"/>
    <w:rsid w:val="007C664F"/>
    <w:rsid w:val="007C67E2"/>
    <w:rsid w:val="007C6AB0"/>
    <w:rsid w:val="007C7FEA"/>
    <w:rsid w:val="007D06CD"/>
    <w:rsid w:val="007D0B14"/>
    <w:rsid w:val="007D0E19"/>
    <w:rsid w:val="007D35AE"/>
    <w:rsid w:val="007D3864"/>
    <w:rsid w:val="007D4658"/>
    <w:rsid w:val="007D4BF0"/>
    <w:rsid w:val="007D6252"/>
    <w:rsid w:val="007D6583"/>
    <w:rsid w:val="007D6BB3"/>
    <w:rsid w:val="007D788D"/>
    <w:rsid w:val="007E0AC6"/>
    <w:rsid w:val="007E0ED5"/>
    <w:rsid w:val="007E1C16"/>
    <w:rsid w:val="007E2618"/>
    <w:rsid w:val="007E3104"/>
    <w:rsid w:val="007E4670"/>
    <w:rsid w:val="007E4744"/>
    <w:rsid w:val="007E497D"/>
    <w:rsid w:val="007E51BF"/>
    <w:rsid w:val="007E614E"/>
    <w:rsid w:val="007E61B7"/>
    <w:rsid w:val="007E6433"/>
    <w:rsid w:val="007E698E"/>
    <w:rsid w:val="007E731A"/>
    <w:rsid w:val="007E757F"/>
    <w:rsid w:val="007E77FF"/>
    <w:rsid w:val="007F01D7"/>
    <w:rsid w:val="007F0FEF"/>
    <w:rsid w:val="007F25E7"/>
    <w:rsid w:val="007F300E"/>
    <w:rsid w:val="007F35E9"/>
    <w:rsid w:val="007F3C6E"/>
    <w:rsid w:val="007F492A"/>
    <w:rsid w:val="007F4CB5"/>
    <w:rsid w:val="007F515D"/>
    <w:rsid w:val="007F64E4"/>
    <w:rsid w:val="007F65EC"/>
    <w:rsid w:val="007F66F6"/>
    <w:rsid w:val="007F7BAE"/>
    <w:rsid w:val="008006D2"/>
    <w:rsid w:val="008008B0"/>
    <w:rsid w:val="008013DE"/>
    <w:rsid w:val="00801680"/>
    <w:rsid w:val="00802F09"/>
    <w:rsid w:val="00804561"/>
    <w:rsid w:val="00804A01"/>
    <w:rsid w:val="00805FD7"/>
    <w:rsid w:val="00805FDF"/>
    <w:rsid w:val="00806A7E"/>
    <w:rsid w:val="00807053"/>
    <w:rsid w:val="00807A22"/>
    <w:rsid w:val="00807ADC"/>
    <w:rsid w:val="00810430"/>
    <w:rsid w:val="00810B10"/>
    <w:rsid w:val="0081177A"/>
    <w:rsid w:val="00812402"/>
    <w:rsid w:val="008131D7"/>
    <w:rsid w:val="00813AC4"/>
    <w:rsid w:val="00813D56"/>
    <w:rsid w:val="0081439C"/>
    <w:rsid w:val="008146AA"/>
    <w:rsid w:val="00814854"/>
    <w:rsid w:val="00814DFF"/>
    <w:rsid w:val="00814F7F"/>
    <w:rsid w:val="008152B7"/>
    <w:rsid w:val="00815CEF"/>
    <w:rsid w:val="00816F73"/>
    <w:rsid w:val="00817068"/>
    <w:rsid w:val="0081717C"/>
    <w:rsid w:val="0081726F"/>
    <w:rsid w:val="0081744A"/>
    <w:rsid w:val="00820592"/>
    <w:rsid w:val="00820BAB"/>
    <w:rsid w:val="008211F8"/>
    <w:rsid w:val="0082191D"/>
    <w:rsid w:val="00822370"/>
    <w:rsid w:val="0082290B"/>
    <w:rsid w:val="0082343F"/>
    <w:rsid w:val="008237E8"/>
    <w:rsid w:val="00824024"/>
    <w:rsid w:val="00824A82"/>
    <w:rsid w:val="00824F1A"/>
    <w:rsid w:val="00824F7C"/>
    <w:rsid w:val="008254C6"/>
    <w:rsid w:val="00825A21"/>
    <w:rsid w:val="00826B9C"/>
    <w:rsid w:val="00827CE2"/>
    <w:rsid w:val="00830089"/>
    <w:rsid w:val="00830B78"/>
    <w:rsid w:val="00830D62"/>
    <w:rsid w:val="008311D6"/>
    <w:rsid w:val="00831782"/>
    <w:rsid w:val="0083261E"/>
    <w:rsid w:val="008329B1"/>
    <w:rsid w:val="00832C9D"/>
    <w:rsid w:val="00833213"/>
    <w:rsid w:val="008334D4"/>
    <w:rsid w:val="00833B4E"/>
    <w:rsid w:val="00833C79"/>
    <w:rsid w:val="00833FAF"/>
    <w:rsid w:val="0083489D"/>
    <w:rsid w:val="0083668B"/>
    <w:rsid w:val="008368FD"/>
    <w:rsid w:val="00837EA5"/>
    <w:rsid w:val="00837F95"/>
    <w:rsid w:val="00840246"/>
    <w:rsid w:val="0084143E"/>
    <w:rsid w:val="00842437"/>
    <w:rsid w:val="00842934"/>
    <w:rsid w:val="00842B77"/>
    <w:rsid w:val="008439AF"/>
    <w:rsid w:val="00843CEA"/>
    <w:rsid w:val="008450E2"/>
    <w:rsid w:val="00845868"/>
    <w:rsid w:val="00846411"/>
    <w:rsid w:val="0084668E"/>
    <w:rsid w:val="00846874"/>
    <w:rsid w:val="00846F28"/>
    <w:rsid w:val="008477F1"/>
    <w:rsid w:val="00850367"/>
    <w:rsid w:val="0085097B"/>
    <w:rsid w:val="008509E4"/>
    <w:rsid w:val="00850A1A"/>
    <w:rsid w:val="00850C6B"/>
    <w:rsid w:val="00850FA1"/>
    <w:rsid w:val="00851649"/>
    <w:rsid w:val="008519FE"/>
    <w:rsid w:val="00852026"/>
    <w:rsid w:val="0085225F"/>
    <w:rsid w:val="00852AB6"/>
    <w:rsid w:val="00852B5D"/>
    <w:rsid w:val="00853069"/>
    <w:rsid w:val="008530A1"/>
    <w:rsid w:val="00853BAF"/>
    <w:rsid w:val="00853E8B"/>
    <w:rsid w:val="008550C6"/>
    <w:rsid w:val="00855491"/>
    <w:rsid w:val="008566DD"/>
    <w:rsid w:val="008568A2"/>
    <w:rsid w:val="00857209"/>
    <w:rsid w:val="008572F5"/>
    <w:rsid w:val="00857FAD"/>
    <w:rsid w:val="00860297"/>
    <w:rsid w:val="00861540"/>
    <w:rsid w:val="008615CE"/>
    <w:rsid w:val="00861C0D"/>
    <w:rsid w:val="00861DDB"/>
    <w:rsid w:val="0086282F"/>
    <w:rsid w:val="00862850"/>
    <w:rsid w:val="008628B5"/>
    <w:rsid w:val="00862AB5"/>
    <w:rsid w:val="00862CCE"/>
    <w:rsid w:val="0086301C"/>
    <w:rsid w:val="008631D4"/>
    <w:rsid w:val="0086350F"/>
    <w:rsid w:val="0086393C"/>
    <w:rsid w:val="00864097"/>
    <w:rsid w:val="00865F91"/>
    <w:rsid w:val="008661D3"/>
    <w:rsid w:val="008663BD"/>
    <w:rsid w:val="00867EC6"/>
    <w:rsid w:val="00870637"/>
    <w:rsid w:val="00871074"/>
    <w:rsid w:val="008728B6"/>
    <w:rsid w:val="00872C18"/>
    <w:rsid w:val="0087376D"/>
    <w:rsid w:val="00874430"/>
    <w:rsid w:val="0087445B"/>
    <w:rsid w:val="00874B3C"/>
    <w:rsid w:val="00874ED9"/>
    <w:rsid w:val="00875138"/>
    <w:rsid w:val="00875ABD"/>
    <w:rsid w:val="00875F82"/>
    <w:rsid w:val="0087661C"/>
    <w:rsid w:val="008771EE"/>
    <w:rsid w:val="0088039E"/>
    <w:rsid w:val="00881184"/>
    <w:rsid w:val="008818ED"/>
    <w:rsid w:val="008818FD"/>
    <w:rsid w:val="00881B66"/>
    <w:rsid w:val="00881B6D"/>
    <w:rsid w:val="00881B8C"/>
    <w:rsid w:val="00882CF8"/>
    <w:rsid w:val="008835D6"/>
    <w:rsid w:val="008836FB"/>
    <w:rsid w:val="00883D84"/>
    <w:rsid w:val="008842F8"/>
    <w:rsid w:val="008848DA"/>
    <w:rsid w:val="00884C2C"/>
    <w:rsid w:val="00885794"/>
    <w:rsid w:val="00885A20"/>
    <w:rsid w:val="008860CD"/>
    <w:rsid w:val="00886AE8"/>
    <w:rsid w:val="00886FAE"/>
    <w:rsid w:val="00887301"/>
    <w:rsid w:val="008874CF"/>
    <w:rsid w:val="00887C4B"/>
    <w:rsid w:val="00887E13"/>
    <w:rsid w:val="00890D8F"/>
    <w:rsid w:val="008914F7"/>
    <w:rsid w:val="0089160A"/>
    <w:rsid w:val="00891875"/>
    <w:rsid w:val="00891920"/>
    <w:rsid w:val="00891928"/>
    <w:rsid w:val="00892DB6"/>
    <w:rsid w:val="0089354A"/>
    <w:rsid w:val="0089391D"/>
    <w:rsid w:val="00893CD8"/>
    <w:rsid w:val="00893D31"/>
    <w:rsid w:val="00893F3A"/>
    <w:rsid w:val="00893FE4"/>
    <w:rsid w:val="00894731"/>
    <w:rsid w:val="00894E53"/>
    <w:rsid w:val="0089523C"/>
    <w:rsid w:val="00895B40"/>
    <w:rsid w:val="00896171"/>
    <w:rsid w:val="008964F1"/>
    <w:rsid w:val="0089654C"/>
    <w:rsid w:val="00896648"/>
    <w:rsid w:val="00897C79"/>
    <w:rsid w:val="008A0395"/>
    <w:rsid w:val="008A1407"/>
    <w:rsid w:val="008A1C7D"/>
    <w:rsid w:val="008A2A9B"/>
    <w:rsid w:val="008A2B64"/>
    <w:rsid w:val="008A37DA"/>
    <w:rsid w:val="008A390E"/>
    <w:rsid w:val="008A523F"/>
    <w:rsid w:val="008A5549"/>
    <w:rsid w:val="008A5BC7"/>
    <w:rsid w:val="008A762C"/>
    <w:rsid w:val="008B02AD"/>
    <w:rsid w:val="008B060E"/>
    <w:rsid w:val="008B090C"/>
    <w:rsid w:val="008B0B60"/>
    <w:rsid w:val="008B0DD0"/>
    <w:rsid w:val="008B10FC"/>
    <w:rsid w:val="008B1DDF"/>
    <w:rsid w:val="008B4129"/>
    <w:rsid w:val="008B4367"/>
    <w:rsid w:val="008B5427"/>
    <w:rsid w:val="008B5FC8"/>
    <w:rsid w:val="008B65FF"/>
    <w:rsid w:val="008B667C"/>
    <w:rsid w:val="008B693D"/>
    <w:rsid w:val="008B77C0"/>
    <w:rsid w:val="008B7AEC"/>
    <w:rsid w:val="008B7DE9"/>
    <w:rsid w:val="008B7F13"/>
    <w:rsid w:val="008B7FDB"/>
    <w:rsid w:val="008C07D6"/>
    <w:rsid w:val="008C1381"/>
    <w:rsid w:val="008C1638"/>
    <w:rsid w:val="008C1A1A"/>
    <w:rsid w:val="008C20DA"/>
    <w:rsid w:val="008C2747"/>
    <w:rsid w:val="008C2978"/>
    <w:rsid w:val="008C2F9B"/>
    <w:rsid w:val="008C2FE4"/>
    <w:rsid w:val="008C3B31"/>
    <w:rsid w:val="008C3BB3"/>
    <w:rsid w:val="008C4A94"/>
    <w:rsid w:val="008C5DF2"/>
    <w:rsid w:val="008C6493"/>
    <w:rsid w:val="008C6844"/>
    <w:rsid w:val="008C686B"/>
    <w:rsid w:val="008C6AE3"/>
    <w:rsid w:val="008C6E4B"/>
    <w:rsid w:val="008C6EBC"/>
    <w:rsid w:val="008C72F7"/>
    <w:rsid w:val="008C75B5"/>
    <w:rsid w:val="008C75C4"/>
    <w:rsid w:val="008D011B"/>
    <w:rsid w:val="008D0524"/>
    <w:rsid w:val="008D0B26"/>
    <w:rsid w:val="008D11BE"/>
    <w:rsid w:val="008D1E2E"/>
    <w:rsid w:val="008D2F09"/>
    <w:rsid w:val="008D3278"/>
    <w:rsid w:val="008D34A1"/>
    <w:rsid w:val="008D397F"/>
    <w:rsid w:val="008D3A46"/>
    <w:rsid w:val="008D3DBD"/>
    <w:rsid w:val="008D4EC3"/>
    <w:rsid w:val="008D5148"/>
    <w:rsid w:val="008D67E2"/>
    <w:rsid w:val="008D68AC"/>
    <w:rsid w:val="008D6F25"/>
    <w:rsid w:val="008D6F41"/>
    <w:rsid w:val="008E01FC"/>
    <w:rsid w:val="008E0C69"/>
    <w:rsid w:val="008E1552"/>
    <w:rsid w:val="008E2A6D"/>
    <w:rsid w:val="008E3488"/>
    <w:rsid w:val="008E3F18"/>
    <w:rsid w:val="008E5BF6"/>
    <w:rsid w:val="008E5CC5"/>
    <w:rsid w:val="008E6174"/>
    <w:rsid w:val="008E6211"/>
    <w:rsid w:val="008E642E"/>
    <w:rsid w:val="008E6947"/>
    <w:rsid w:val="008E6BF3"/>
    <w:rsid w:val="008E780E"/>
    <w:rsid w:val="008F0332"/>
    <w:rsid w:val="008F08FB"/>
    <w:rsid w:val="008F0DDF"/>
    <w:rsid w:val="008F1CCC"/>
    <w:rsid w:val="008F1F57"/>
    <w:rsid w:val="008F21A9"/>
    <w:rsid w:val="008F2962"/>
    <w:rsid w:val="008F32B9"/>
    <w:rsid w:val="008F3BFF"/>
    <w:rsid w:val="008F4015"/>
    <w:rsid w:val="008F42A9"/>
    <w:rsid w:val="008F4507"/>
    <w:rsid w:val="008F4E6D"/>
    <w:rsid w:val="008F5013"/>
    <w:rsid w:val="008F603F"/>
    <w:rsid w:val="008F6133"/>
    <w:rsid w:val="008F7725"/>
    <w:rsid w:val="00900A45"/>
    <w:rsid w:val="00900E91"/>
    <w:rsid w:val="00901A3D"/>
    <w:rsid w:val="00901DB9"/>
    <w:rsid w:val="0090222E"/>
    <w:rsid w:val="009029A9"/>
    <w:rsid w:val="009045B9"/>
    <w:rsid w:val="0090482C"/>
    <w:rsid w:val="0090516F"/>
    <w:rsid w:val="00905200"/>
    <w:rsid w:val="009053FC"/>
    <w:rsid w:val="00905CEF"/>
    <w:rsid w:val="00905F34"/>
    <w:rsid w:val="00905F82"/>
    <w:rsid w:val="009079C2"/>
    <w:rsid w:val="00907F5E"/>
    <w:rsid w:val="009101B1"/>
    <w:rsid w:val="0091069A"/>
    <w:rsid w:val="009125BD"/>
    <w:rsid w:val="00912613"/>
    <w:rsid w:val="009134DD"/>
    <w:rsid w:val="00913E79"/>
    <w:rsid w:val="00915284"/>
    <w:rsid w:val="009166B6"/>
    <w:rsid w:val="0091681A"/>
    <w:rsid w:val="00917756"/>
    <w:rsid w:val="00917DF6"/>
    <w:rsid w:val="00920262"/>
    <w:rsid w:val="0092079C"/>
    <w:rsid w:val="00920817"/>
    <w:rsid w:val="00921333"/>
    <w:rsid w:val="00921B46"/>
    <w:rsid w:val="00922D99"/>
    <w:rsid w:val="00923106"/>
    <w:rsid w:val="00923C89"/>
    <w:rsid w:val="00923F34"/>
    <w:rsid w:val="00924B83"/>
    <w:rsid w:val="00925046"/>
    <w:rsid w:val="00925974"/>
    <w:rsid w:val="009262B3"/>
    <w:rsid w:val="0092641B"/>
    <w:rsid w:val="00926E70"/>
    <w:rsid w:val="00927B64"/>
    <w:rsid w:val="0093022E"/>
    <w:rsid w:val="009327DE"/>
    <w:rsid w:val="00932DA9"/>
    <w:rsid w:val="0093363A"/>
    <w:rsid w:val="00933C3A"/>
    <w:rsid w:val="00933DF7"/>
    <w:rsid w:val="00934192"/>
    <w:rsid w:val="00934BDF"/>
    <w:rsid w:val="009351C1"/>
    <w:rsid w:val="00935FD3"/>
    <w:rsid w:val="00936222"/>
    <w:rsid w:val="00937A17"/>
    <w:rsid w:val="00937A54"/>
    <w:rsid w:val="0094039B"/>
    <w:rsid w:val="009406F9"/>
    <w:rsid w:val="00940DC8"/>
    <w:rsid w:val="0094186A"/>
    <w:rsid w:val="00942DA1"/>
    <w:rsid w:val="0094347D"/>
    <w:rsid w:val="0094388D"/>
    <w:rsid w:val="009441E2"/>
    <w:rsid w:val="009450B3"/>
    <w:rsid w:val="00945214"/>
    <w:rsid w:val="00945480"/>
    <w:rsid w:val="009460E9"/>
    <w:rsid w:val="0094722B"/>
    <w:rsid w:val="0094760B"/>
    <w:rsid w:val="00947BD0"/>
    <w:rsid w:val="00950A04"/>
    <w:rsid w:val="00951A17"/>
    <w:rsid w:val="00951CBC"/>
    <w:rsid w:val="00951E6F"/>
    <w:rsid w:val="00952AC4"/>
    <w:rsid w:val="0095315A"/>
    <w:rsid w:val="009536C3"/>
    <w:rsid w:val="00953B25"/>
    <w:rsid w:val="00954424"/>
    <w:rsid w:val="00954843"/>
    <w:rsid w:val="009550BA"/>
    <w:rsid w:val="00955CD6"/>
    <w:rsid w:val="00955EEA"/>
    <w:rsid w:val="00957401"/>
    <w:rsid w:val="00957A64"/>
    <w:rsid w:val="00957D7B"/>
    <w:rsid w:val="009601C1"/>
    <w:rsid w:val="0096062C"/>
    <w:rsid w:val="00960E42"/>
    <w:rsid w:val="00961179"/>
    <w:rsid w:val="00961B63"/>
    <w:rsid w:val="009622A8"/>
    <w:rsid w:val="00962A0C"/>
    <w:rsid w:val="00962FB7"/>
    <w:rsid w:val="009632BE"/>
    <w:rsid w:val="00963310"/>
    <w:rsid w:val="00965745"/>
    <w:rsid w:val="009658C4"/>
    <w:rsid w:val="00965AEA"/>
    <w:rsid w:val="00966079"/>
    <w:rsid w:val="009667F5"/>
    <w:rsid w:val="00966AA3"/>
    <w:rsid w:val="00967CCE"/>
    <w:rsid w:val="00970097"/>
    <w:rsid w:val="00970119"/>
    <w:rsid w:val="00970CBA"/>
    <w:rsid w:val="009713D6"/>
    <w:rsid w:val="00971779"/>
    <w:rsid w:val="00972896"/>
    <w:rsid w:val="009730FE"/>
    <w:rsid w:val="009732C2"/>
    <w:rsid w:val="009737AD"/>
    <w:rsid w:val="00973AD0"/>
    <w:rsid w:val="00973B0E"/>
    <w:rsid w:val="009742E5"/>
    <w:rsid w:val="0097497A"/>
    <w:rsid w:val="009755B0"/>
    <w:rsid w:val="00975B05"/>
    <w:rsid w:val="00975F8B"/>
    <w:rsid w:val="00976C2D"/>
    <w:rsid w:val="00976C58"/>
    <w:rsid w:val="00976CC0"/>
    <w:rsid w:val="00976F76"/>
    <w:rsid w:val="00977E14"/>
    <w:rsid w:val="0098039F"/>
    <w:rsid w:val="0098056A"/>
    <w:rsid w:val="00980860"/>
    <w:rsid w:val="00980885"/>
    <w:rsid w:val="00980EEC"/>
    <w:rsid w:val="00981417"/>
    <w:rsid w:val="00981452"/>
    <w:rsid w:val="00981826"/>
    <w:rsid w:val="00981904"/>
    <w:rsid w:val="00981A86"/>
    <w:rsid w:val="00981C0A"/>
    <w:rsid w:val="0098283B"/>
    <w:rsid w:val="00982AD5"/>
    <w:rsid w:val="0098426C"/>
    <w:rsid w:val="00984862"/>
    <w:rsid w:val="00984AD9"/>
    <w:rsid w:val="00984F9B"/>
    <w:rsid w:val="00985366"/>
    <w:rsid w:val="00986475"/>
    <w:rsid w:val="00986618"/>
    <w:rsid w:val="009866A5"/>
    <w:rsid w:val="00986A13"/>
    <w:rsid w:val="00987052"/>
    <w:rsid w:val="009871E8"/>
    <w:rsid w:val="00987D0A"/>
    <w:rsid w:val="00987E83"/>
    <w:rsid w:val="00990759"/>
    <w:rsid w:val="009916E1"/>
    <w:rsid w:val="0099188B"/>
    <w:rsid w:val="009919F8"/>
    <w:rsid w:val="0099261A"/>
    <w:rsid w:val="009931F5"/>
    <w:rsid w:val="0099349F"/>
    <w:rsid w:val="00993790"/>
    <w:rsid w:val="0099411D"/>
    <w:rsid w:val="009952E4"/>
    <w:rsid w:val="00995F69"/>
    <w:rsid w:val="009960E8"/>
    <w:rsid w:val="00996C72"/>
    <w:rsid w:val="00997295"/>
    <w:rsid w:val="00997C52"/>
    <w:rsid w:val="009A0721"/>
    <w:rsid w:val="009A0984"/>
    <w:rsid w:val="009A0C6E"/>
    <w:rsid w:val="009A1B2F"/>
    <w:rsid w:val="009A1B65"/>
    <w:rsid w:val="009A1BA4"/>
    <w:rsid w:val="009A1FC0"/>
    <w:rsid w:val="009A2F2B"/>
    <w:rsid w:val="009A30D5"/>
    <w:rsid w:val="009A31D7"/>
    <w:rsid w:val="009A34C5"/>
    <w:rsid w:val="009A3EFE"/>
    <w:rsid w:val="009A3F21"/>
    <w:rsid w:val="009A4898"/>
    <w:rsid w:val="009A4FC3"/>
    <w:rsid w:val="009A563D"/>
    <w:rsid w:val="009A600A"/>
    <w:rsid w:val="009A63C6"/>
    <w:rsid w:val="009A72BF"/>
    <w:rsid w:val="009B021B"/>
    <w:rsid w:val="009B07B1"/>
    <w:rsid w:val="009B07C1"/>
    <w:rsid w:val="009B09B6"/>
    <w:rsid w:val="009B104A"/>
    <w:rsid w:val="009B188F"/>
    <w:rsid w:val="009B1982"/>
    <w:rsid w:val="009B1EFE"/>
    <w:rsid w:val="009B1F85"/>
    <w:rsid w:val="009B22A8"/>
    <w:rsid w:val="009B37CE"/>
    <w:rsid w:val="009B39BA"/>
    <w:rsid w:val="009B3A14"/>
    <w:rsid w:val="009B3EFF"/>
    <w:rsid w:val="009B5263"/>
    <w:rsid w:val="009B6BB8"/>
    <w:rsid w:val="009B75EA"/>
    <w:rsid w:val="009C0284"/>
    <w:rsid w:val="009C07E9"/>
    <w:rsid w:val="009C0F7D"/>
    <w:rsid w:val="009C10B1"/>
    <w:rsid w:val="009C1616"/>
    <w:rsid w:val="009C2FF7"/>
    <w:rsid w:val="009C313F"/>
    <w:rsid w:val="009C384C"/>
    <w:rsid w:val="009C3EF7"/>
    <w:rsid w:val="009C4D75"/>
    <w:rsid w:val="009C5F16"/>
    <w:rsid w:val="009C6089"/>
    <w:rsid w:val="009C66F3"/>
    <w:rsid w:val="009C6829"/>
    <w:rsid w:val="009C6B2D"/>
    <w:rsid w:val="009C6C91"/>
    <w:rsid w:val="009C70CA"/>
    <w:rsid w:val="009C714A"/>
    <w:rsid w:val="009C71B6"/>
    <w:rsid w:val="009C7AD6"/>
    <w:rsid w:val="009D06B0"/>
    <w:rsid w:val="009D0B95"/>
    <w:rsid w:val="009D0CBF"/>
    <w:rsid w:val="009D0DC9"/>
    <w:rsid w:val="009D0F6C"/>
    <w:rsid w:val="009D1991"/>
    <w:rsid w:val="009D258E"/>
    <w:rsid w:val="009D2D65"/>
    <w:rsid w:val="009D3563"/>
    <w:rsid w:val="009D3E88"/>
    <w:rsid w:val="009D3F35"/>
    <w:rsid w:val="009D4422"/>
    <w:rsid w:val="009D475F"/>
    <w:rsid w:val="009D50B4"/>
    <w:rsid w:val="009D6706"/>
    <w:rsid w:val="009D6BA6"/>
    <w:rsid w:val="009D7F68"/>
    <w:rsid w:val="009E08F9"/>
    <w:rsid w:val="009E12C1"/>
    <w:rsid w:val="009E1BDF"/>
    <w:rsid w:val="009E2DB4"/>
    <w:rsid w:val="009E2E21"/>
    <w:rsid w:val="009E2E24"/>
    <w:rsid w:val="009E36A2"/>
    <w:rsid w:val="009E4E16"/>
    <w:rsid w:val="009E5427"/>
    <w:rsid w:val="009E55B1"/>
    <w:rsid w:val="009E593F"/>
    <w:rsid w:val="009E5C46"/>
    <w:rsid w:val="009E5CE5"/>
    <w:rsid w:val="009E6042"/>
    <w:rsid w:val="009E6D38"/>
    <w:rsid w:val="009E6EA8"/>
    <w:rsid w:val="009E7A9D"/>
    <w:rsid w:val="009E7CC2"/>
    <w:rsid w:val="009F0F56"/>
    <w:rsid w:val="009F171A"/>
    <w:rsid w:val="009F1BA7"/>
    <w:rsid w:val="009F1FDF"/>
    <w:rsid w:val="009F2074"/>
    <w:rsid w:val="009F2868"/>
    <w:rsid w:val="009F2E69"/>
    <w:rsid w:val="009F365A"/>
    <w:rsid w:val="009F36CB"/>
    <w:rsid w:val="009F3804"/>
    <w:rsid w:val="009F3AAD"/>
    <w:rsid w:val="009F3F04"/>
    <w:rsid w:val="009F414D"/>
    <w:rsid w:val="009F463C"/>
    <w:rsid w:val="009F46CC"/>
    <w:rsid w:val="009F48C1"/>
    <w:rsid w:val="009F4A49"/>
    <w:rsid w:val="009F4D5A"/>
    <w:rsid w:val="009F6ECC"/>
    <w:rsid w:val="009F70B3"/>
    <w:rsid w:val="009F7A8E"/>
    <w:rsid w:val="00A01195"/>
    <w:rsid w:val="00A020BE"/>
    <w:rsid w:val="00A021E9"/>
    <w:rsid w:val="00A02816"/>
    <w:rsid w:val="00A02B69"/>
    <w:rsid w:val="00A02BC9"/>
    <w:rsid w:val="00A030F4"/>
    <w:rsid w:val="00A03869"/>
    <w:rsid w:val="00A0399A"/>
    <w:rsid w:val="00A0492A"/>
    <w:rsid w:val="00A05BE8"/>
    <w:rsid w:val="00A05F5F"/>
    <w:rsid w:val="00A107A6"/>
    <w:rsid w:val="00A121F1"/>
    <w:rsid w:val="00A12837"/>
    <w:rsid w:val="00A13551"/>
    <w:rsid w:val="00A13CAB"/>
    <w:rsid w:val="00A16366"/>
    <w:rsid w:val="00A16B04"/>
    <w:rsid w:val="00A16CFB"/>
    <w:rsid w:val="00A20004"/>
    <w:rsid w:val="00A2068B"/>
    <w:rsid w:val="00A20A57"/>
    <w:rsid w:val="00A2153F"/>
    <w:rsid w:val="00A22D0B"/>
    <w:rsid w:val="00A22E48"/>
    <w:rsid w:val="00A23963"/>
    <w:rsid w:val="00A24183"/>
    <w:rsid w:val="00A25569"/>
    <w:rsid w:val="00A25BDD"/>
    <w:rsid w:val="00A270BE"/>
    <w:rsid w:val="00A27317"/>
    <w:rsid w:val="00A27462"/>
    <w:rsid w:val="00A2756A"/>
    <w:rsid w:val="00A27A88"/>
    <w:rsid w:val="00A30906"/>
    <w:rsid w:val="00A3147F"/>
    <w:rsid w:val="00A31A88"/>
    <w:rsid w:val="00A32A97"/>
    <w:rsid w:val="00A33996"/>
    <w:rsid w:val="00A34FBB"/>
    <w:rsid w:val="00A36C7C"/>
    <w:rsid w:val="00A3707C"/>
    <w:rsid w:val="00A376FE"/>
    <w:rsid w:val="00A37C67"/>
    <w:rsid w:val="00A406E3"/>
    <w:rsid w:val="00A41319"/>
    <w:rsid w:val="00A41528"/>
    <w:rsid w:val="00A421FA"/>
    <w:rsid w:val="00A424E2"/>
    <w:rsid w:val="00A42D8E"/>
    <w:rsid w:val="00A4342B"/>
    <w:rsid w:val="00A43795"/>
    <w:rsid w:val="00A438A1"/>
    <w:rsid w:val="00A43E91"/>
    <w:rsid w:val="00A443CC"/>
    <w:rsid w:val="00A449FC"/>
    <w:rsid w:val="00A454E6"/>
    <w:rsid w:val="00A456E1"/>
    <w:rsid w:val="00A461B7"/>
    <w:rsid w:val="00A464CC"/>
    <w:rsid w:val="00A47332"/>
    <w:rsid w:val="00A47975"/>
    <w:rsid w:val="00A479D5"/>
    <w:rsid w:val="00A47B30"/>
    <w:rsid w:val="00A50623"/>
    <w:rsid w:val="00A509B8"/>
    <w:rsid w:val="00A50B2C"/>
    <w:rsid w:val="00A515A5"/>
    <w:rsid w:val="00A51F21"/>
    <w:rsid w:val="00A52A9A"/>
    <w:rsid w:val="00A5364B"/>
    <w:rsid w:val="00A54E35"/>
    <w:rsid w:val="00A5573F"/>
    <w:rsid w:val="00A563AB"/>
    <w:rsid w:val="00A56601"/>
    <w:rsid w:val="00A56F3A"/>
    <w:rsid w:val="00A571DE"/>
    <w:rsid w:val="00A578DA"/>
    <w:rsid w:val="00A57B43"/>
    <w:rsid w:val="00A60269"/>
    <w:rsid w:val="00A60494"/>
    <w:rsid w:val="00A6051D"/>
    <w:rsid w:val="00A61305"/>
    <w:rsid w:val="00A614F3"/>
    <w:rsid w:val="00A622C3"/>
    <w:rsid w:val="00A629EB"/>
    <w:rsid w:val="00A63565"/>
    <w:rsid w:val="00A63635"/>
    <w:rsid w:val="00A649F8"/>
    <w:rsid w:val="00A65636"/>
    <w:rsid w:val="00A661B0"/>
    <w:rsid w:val="00A663E8"/>
    <w:rsid w:val="00A6649B"/>
    <w:rsid w:val="00A66BD8"/>
    <w:rsid w:val="00A67719"/>
    <w:rsid w:val="00A678C4"/>
    <w:rsid w:val="00A67998"/>
    <w:rsid w:val="00A67C79"/>
    <w:rsid w:val="00A706C1"/>
    <w:rsid w:val="00A70BAA"/>
    <w:rsid w:val="00A70F12"/>
    <w:rsid w:val="00A710C1"/>
    <w:rsid w:val="00A71DD1"/>
    <w:rsid w:val="00A72FDF"/>
    <w:rsid w:val="00A73816"/>
    <w:rsid w:val="00A74550"/>
    <w:rsid w:val="00A74F98"/>
    <w:rsid w:val="00A751BF"/>
    <w:rsid w:val="00A75415"/>
    <w:rsid w:val="00A75656"/>
    <w:rsid w:val="00A75727"/>
    <w:rsid w:val="00A75833"/>
    <w:rsid w:val="00A75901"/>
    <w:rsid w:val="00A75EC1"/>
    <w:rsid w:val="00A76F72"/>
    <w:rsid w:val="00A7748D"/>
    <w:rsid w:val="00A778DD"/>
    <w:rsid w:val="00A77C2F"/>
    <w:rsid w:val="00A80859"/>
    <w:rsid w:val="00A813E1"/>
    <w:rsid w:val="00A81BD7"/>
    <w:rsid w:val="00A8232A"/>
    <w:rsid w:val="00A8264E"/>
    <w:rsid w:val="00A82AF4"/>
    <w:rsid w:val="00A839FE"/>
    <w:rsid w:val="00A8410F"/>
    <w:rsid w:val="00A86316"/>
    <w:rsid w:val="00A8631D"/>
    <w:rsid w:val="00A866AA"/>
    <w:rsid w:val="00A86F12"/>
    <w:rsid w:val="00A8742F"/>
    <w:rsid w:val="00A87B64"/>
    <w:rsid w:val="00A901FB"/>
    <w:rsid w:val="00A903BA"/>
    <w:rsid w:val="00A906B6"/>
    <w:rsid w:val="00A91D02"/>
    <w:rsid w:val="00A91DD2"/>
    <w:rsid w:val="00A92201"/>
    <w:rsid w:val="00A925D6"/>
    <w:rsid w:val="00A92D26"/>
    <w:rsid w:val="00A92D8A"/>
    <w:rsid w:val="00A931D4"/>
    <w:rsid w:val="00A970C8"/>
    <w:rsid w:val="00A97166"/>
    <w:rsid w:val="00A97D07"/>
    <w:rsid w:val="00A97E39"/>
    <w:rsid w:val="00A97E96"/>
    <w:rsid w:val="00AA05C4"/>
    <w:rsid w:val="00AA246E"/>
    <w:rsid w:val="00AA5128"/>
    <w:rsid w:val="00AA5A65"/>
    <w:rsid w:val="00AA5BDB"/>
    <w:rsid w:val="00AA60DE"/>
    <w:rsid w:val="00AA63A0"/>
    <w:rsid w:val="00AA63F2"/>
    <w:rsid w:val="00AA6463"/>
    <w:rsid w:val="00AA6609"/>
    <w:rsid w:val="00AA6674"/>
    <w:rsid w:val="00AA68B6"/>
    <w:rsid w:val="00AA7A4B"/>
    <w:rsid w:val="00AA7DE1"/>
    <w:rsid w:val="00AA7DE7"/>
    <w:rsid w:val="00AA7FCA"/>
    <w:rsid w:val="00AB0509"/>
    <w:rsid w:val="00AB097A"/>
    <w:rsid w:val="00AB0AD3"/>
    <w:rsid w:val="00AB1210"/>
    <w:rsid w:val="00AB1540"/>
    <w:rsid w:val="00AB295B"/>
    <w:rsid w:val="00AB2F12"/>
    <w:rsid w:val="00AB2F9A"/>
    <w:rsid w:val="00AB3132"/>
    <w:rsid w:val="00AB3858"/>
    <w:rsid w:val="00AB3CDD"/>
    <w:rsid w:val="00AB414A"/>
    <w:rsid w:val="00AB44D5"/>
    <w:rsid w:val="00AB491D"/>
    <w:rsid w:val="00AB4A1D"/>
    <w:rsid w:val="00AB4D8F"/>
    <w:rsid w:val="00AB50EF"/>
    <w:rsid w:val="00AB53A7"/>
    <w:rsid w:val="00AB57B0"/>
    <w:rsid w:val="00AB58B8"/>
    <w:rsid w:val="00AB603E"/>
    <w:rsid w:val="00AB6080"/>
    <w:rsid w:val="00AB63E6"/>
    <w:rsid w:val="00AB67E8"/>
    <w:rsid w:val="00AB6CF8"/>
    <w:rsid w:val="00AB6FA0"/>
    <w:rsid w:val="00AB72C7"/>
    <w:rsid w:val="00AB7BC5"/>
    <w:rsid w:val="00AC1ED7"/>
    <w:rsid w:val="00AC1FB9"/>
    <w:rsid w:val="00AC2332"/>
    <w:rsid w:val="00AC2C3B"/>
    <w:rsid w:val="00AC2E4F"/>
    <w:rsid w:val="00AC4879"/>
    <w:rsid w:val="00AC4B83"/>
    <w:rsid w:val="00AC4CBE"/>
    <w:rsid w:val="00AC6574"/>
    <w:rsid w:val="00AC67F7"/>
    <w:rsid w:val="00AC73BF"/>
    <w:rsid w:val="00AC788E"/>
    <w:rsid w:val="00AD0FD7"/>
    <w:rsid w:val="00AD1A97"/>
    <w:rsid w:val="00AD1FBA"/>
    <w:rsid w:val="00AD3425"/>
    <w:rsid w:val="00AD4ED2"/>
    <w:rsid w:val="00AD52FE"/>
    <w:rsid w:val="00AD55CB"/>
    <w:rsid w:val="00AD61F7"/>
    <w:rsid w:val="00AD62C6"/>
    <w:rsid w:val="00AD63F9"/>
    <w:rsid w:val="00AD681E"/>
    <w:rsid w:val="00AD6EEB"/>
    <w:rsid w:val="00AD796B"/>
    <w:rsid w:val="00AE0097"/>
    <w:rsid w:val="00AE01F3"/>
    <w:rsid w:val="00AE0360"/>
    <w:rsid w:val="00AE046A"/>
    <w:rsid w:val="00AE1665"/>
    <w:rsid w:val="00AE1EBB"/>
    <w:rsid w:val="00AE1F03"/>
    <w:rsid w:val="00AE267B"/>
    <w:rsid w:val="00AE2CF1"/>
    <w:rsid w:val="00AE2EFB"/>
    <w:rsid w:val="00AE330C"/>
    <w:rsid w:val="00AE4366"/>
    <w:rsid w:val="00AE45E0"/>
    <w:rsid w:val="00AE45F5"/>
    <w:rsid w:val="00AE4AA9"/>
    <w:rsid w:val="00AE4C58"/>
    <w:rsid w:val="00AE5873"/>
    <w:rsid w:val="00AE58E3"/>
    <w:rsid w:val="00AE6AD5"/>
    <w:rsid w:val="00AE779D"/>
    <w:rsid w:val="00AF0068"/>
    <w:rsid w:val="00AF0494"/>
    <w:rsid w:val="00AF07AA"/>
    <w:rsid w:val="00AF16CE"/>
    <w:rsid w:val="00AF1876"/>
    <w:rsid w:val="00AF1F83"/>
    <w:rsid w:val="00AF2319"/>
    <w:rsid w:val="00AF2DDB"/>
    <w:rsid w:val="00AF308F"/>
    <w:rsid w:val="00AF367E"/>
    <w:rsid w:val="00AF3A52"/>
    <w:rsid w:val="00AF40BA"/>
    <w:rsid w:val="00AF45E0"/>
    <w:rsid w:val="00AF6601"/>
    <w:rsid w:val="00AF66B6"/>
    <w:rsid w:val="00AF6E65"/>
    <w:rsid w:val="00AF7667"/>
    <w:rsid w:val="00AF780D"/>
    <w:rsid w:val="00AF7FD7"/>
    <w:rsid w:val="00B0043D"/>
    <w:rsid w:val="00B00908"/>
    <w:rsid w:val="00B01672"/>
    <w:rsid w:val="00B01CB5"/>
    <w:rsid w:val="00B02012"/>
    <w:rsid w:val="00B024AA"/>
    <w:rsid w:val="00B0257D"/>
    <w:rsid w:val="00B02804"/>
    <w:rsid w:val="00B02902"/>
    <w:rsid w:val="00B02C2C"/>
    <w:rsid w:val="00B03ABB"/>
    <w:rsid w:val="00B03E35"/>
    <w:rsid w:val="00B0426C"/>
    <w:rsid w:val="00B04BE2"/>
    <w:rsid w:val="00B057FD"/>
    <w:rsid w:val="00B05902"/>
    <w:rsid w:val="00B05B4F"/>
    <w:rsid w:val="00B05FEB"/>
    <w:rsid w:val="00B0692D"/>
    <w:rsid w:val="00B06B83"/>
    <w:rsid w:val="00B070AB"/>
    <w:rsid w:val="00B0790C"/>
    <w:rsid w:val="00B07C2E"/>
    <w:rsid w:val="00B07E5F"/>
    <w:rsid w:val="00B10363"/>
    <w:rsid w:val="00B10FC1"/>
    <w:rsid w:val="00B11D00"/>
    <w:rsid w:val="00B11EBE"/>
    <w:rsid w:val="00B12D14"/>
    <w:rsid w:val="00B13587"/>
    <w:rsid w:val="00B144D4"/>
    <w:rsid w:val="00B14691"/>
    <w:rsid w:val="00B1511C"/>
    <w:rsid w:val="00B15CEC"/>
    <w:rsid w:val="00B17162"/>
    <w:rsid w:val="00B17BFB"/>
    <w:rsid w:val="00B17EBD"/>
    <w:rsid w:val="00B20444"/>
    <w:rsid w:val="00B20E40"/>
    <w:rsid w:val="00B20F40"/>
    <w:rsid w:val="00B20FD9"/>
    <w:rsid w:val="00B21B7C"/>
    <w:rsid w:val="00B22CE4"/>
    <w:rsid w:val="00B23C24"/>
    <w:rsid w:val="00B23F62"/>
    <w:rsid w:val="00B24506"/>
    <w:rsid w:val="00B24CBE"/>
    <w:rsid w:val="00B24EB3"/>
    <w:rsid w:val="00B25657"/>
    <w:rsid w:val="00B26504"/>
    <w:rsid w:val="00B26835"/>
    <w:rsid w:val="00B26A9F"/>
    <w:rsid w:val="00B27293"/>
    <w:rsid w:val="00B2754F"/>
    <w:rsid w:val="00B27F49"/>
    <w:rsid w:val="00B31DC1"/>
    <w:rsid w:val="00B321DA"/>
    <w:rsid w:val="00B3367F"/>
    <w:rsid w:val="00B33BC0"/>
    <w:rsid w:val="00B3451F"/>
    <w:rsid w:val="00B3477A"/>
    <w:rsid w:val="00B34F59"/>
    <w:rsid w:val="00B35014"/>
    <w:rsid w:val="00B36761"/>
    <w:rsid w:val="00B367EE"/>
    <w:rsid w:val="00B36A13"/>
    <w:rsid w:val="00B36CFD"/>
    <w:rsid w:val="00B379D9"/>
    <w:rsid w:val="00B37A6B"/>
    <w:rsid w:val="00B37BF1"/>
    <w:rsid w:val="00B37EBD"/>
    <w:rsid w:val="00B400B0"/>
    <w:rsid w:val="00B40196"/>
    <w:rsid w:val="00B40CD7"/>
    <w:rsid w:val="00B4107D"/>
    <w:rsid w:val="00B41970"/>
    <w:rsid w:val="00B4268F"/>
    <w:rsid w:val="00B428BD"/>
    <w:rsid w:val="00B4323F"/>
    <w:rsid w:val="00B435FB"/>
    <w:rsid w:val="00B4477A"/>
    <w:rsid w:val="00B449FE"/>
    <w:rsid w:val="00B451C6"/>
    <w:rsid w:val="00B45810"/>
    <w:rsid w:val="00B464E5"/>
    <w:rsid w:val="00B46547"/>
    <w:rsid w:val="00B4700C"/>
    <w:rsid w:val="00B50707"/>
    <w:rsid w:val="00B51A42"/>
    <w:rsid w:val="00B52040"/>
    <w:rsid w:val="00B5273C"/>
    <w:rsid w:val="00B527FB"/>
    <w:rsid w:val="00B52B81"/>
    <w:rsid w:val="00B52E7F"/>
    <w:rsid w:val="00B533F5"/>
    <w:rsid w:val="00B53BEF"/>
    <w:rsid w:val="00B53C06"/>
    <w:rsid w:val="00B5616B"/>
    <w:rsid w:val="00B56BF6"/>
    <w:rsid w:val="00B60941"/>
    <w:rsid w:val="00B60D3E"/>
    <w:rsid w:val="00B60D68"/>
    <w:rsid w:val="00B60DED"/>
    <w:rsid w:val="00B6151F"/>
    <w:rsid w:val="00B6168F"/>
    <w:rsid w:val="00B6217E"/>
    <w:rsid w:val="00B63138"/>
    <w:rsid w:val="00B63E63"/>
    <w:rsid w:val="00B63F94"/>
    <w:rsid w:val="00B642EF"/>
    <w:rsid w:val="00B64867"/>
    <w:rsid w:val="00B64F6C"/>
    <w:rsid w:val="00B66522"/>
    <w:rsid w:val="00B66D5A"/>
    <w:rsid w:val="00B6727F"/>
    <w:rsid w:val="00B67562"/>
    <w:rsid w:val="00B678D0"/>
    <w:rsid w:val="00B67BF6"/>
    <w:rsid w:val="00B7016C"/>
    <w:rsid w:val="00B704D3"/>
    <w:rsid w:val="00B70D3D"/>
    <w:rsid w:val="00B711D8"/>
    <w:rsid w:val="00B717F1"/>
    <w:rsid w:val="00B7217E"/>
    <w:rsid w:val="00B7233A"/>
    <w:rsid w:val="00B731EA"/>
    <w:rsid w:val="00B7444A"/>
    <w:rsid w:val="00B74C90"/>
    <w:rsid w:val="00B74F5A"/>
    <w:rsid w:val="00B764C7"/>
    <w:rsid w:val="00B806A6"/>
    <w:rsid w:val="00B806CD"/>
    <w:rsid w:val="00B8070D"/>
    <w:rsid w:val="00B81040"/>
    <w:rsid w:val="00B8185A"/>
    <w:rsid w:val="00B822B5"/>
    <w:rsid w:val="00B83189"/>
    <w:rsid w:val="00B8355A"/>
    <w:rsid w:val="00B8365F"/>
    <w:rsid w:val="00B843F3"/>
    <w:rsid w:val="00B857C1"/>
    <w:rsid w:val="00B859F2"/>
    <w:rsid w:val="00B862DC"/>
    <w:rsid w:val="00B867CF"/>
    <w:rsid w:val="00B8693A"/>
    <w:rsid w:val="00B90FD4"/>
    <w:rsid w:val="00B912C2"/>
    <w:rsid w:val="00B93015"/>
    <w:rsid w:val="00B9378F"/>
    <w:rsid w:val="00B9380C"/>
    <w:rsid w:val="00B94638"/>
    <w:rsid w:val="00B947CA"/>
    <w:rsid w:val="00B95863"/>
    <w:rsid w:val="00B95E90"/>
    <w:rsid w:val="00B96398"/>
    <w:rsid w:val="00B97CF1"/>
    <w:rsid w:val="00BA0BC8"/>
    <w:rsid w:val="00BA0F74"/>
    <w:rsid w:val="00BA1069"/>
    <w:rsid w:val="00BA13DF"/>
    <w:rsid w:val="00BA1A31"/>
    <w:rsid w:val="00BA23C0"/>
    <w:rsid w:val="00BA292A"/>
    <w:rsid w:val="00BA30BC"/>
    <w:rsid w:val="00BA3C2F"/>
    <w:rsid w:val="00BA47FE"/>
    <w:rsid w:val="00BA4DD1"/>
    <w:rsid w:val="00BA50D4"/>
    <w:rsid w:val="00BA519D"/>
    <w:rsid w:val="00BA685C"/>
    <w:rsid w:val="00BA704C"/>
    <w:rsid w:val="00BB0933"/>
    <w:rsid w:val="00BB31BF"/>
    <w:rsid w:val="00BB4030"/>
    <w:rsid w:val="00BB5286"/>
    <w:rsid w:val="00BB55D9"/>
    <w:rsid w:val="00BB77DD"/>
    <w:rsid w:val="00BB79F0"/>
    <w:rsid w:val="00BB7C2F"/>
    <w:rsid w:val="00BC0A09"/>
    <w:rsid w:val="00BC26EA"/>
    <w:rsid w:val="00BC3343"/>
    <w:rsid w:val="00BC3D79"/>
    <w:rsid w:val="00BC3F50"/>
    <w:rsid w:val="00BC411C"/>
    <w:rsid w:val="00BC4488"/>
    <w:rsid w:val="00BC4A21"/>
    <w:rsid w:val="00BC4EF8"/>
    <w:rsid w:val="00BC4F09"/>
    <w:rsid w:val="00BC5107"/>
    <w:rsid w:val="00BC5878"/>
    <w:rsid w:val="00BC58EF"/>
    <w:rsid w:val="00BC5B33"/>
    <w:rsid w:val="00BC5B92"/>
    <w:rsid w:val="00BC5DD8"/>
    <w:rsid w:val="00BC6BF4"/>
    <w:rsid w:val="00BC6CA8"/>
    <w:rsid w:val="00BC7188"/>
    <w:rsid w:val="00BC7289"/>
    <w:rsid w:val="00BD0457"/>
    <w:rsid w:val="00BD04FA"/>
    <w:rsid w:val="00BD0C1A"/>
    <w:rsid w:val="00BD18D2"/>
    <w:rsid w:val="00BD18DC"/>
    <w:rsid w:val="00BD27C9"/>
    <w:rsid w:val="00BD3226"/>
    <w:rsid w:val="00BD4585"/>
    <w:rsid w:val="00BD49E2"/>
    <w:rsid w:val="00BD4CE2"/>
    <w:rsid w:val="00BD58E7"/>
    <w:rsid w:val="00BD5BF4"/>
    <w:rsid w:val="00BD5FE2"/>
    <w:rsid w:val="00BD6549"/>
    <w:rsid w:val="00BD6A2B"/>
    <w:rsid w:val="00BD6AB1"/>
    <w:rsid w:val="00BD71E3"/>
    <w:rsid w:val="00BD76AF"/>
    <w:rsid w:val="00BD7DAC"/>
    <w:rsid w:val="00BE029A"/>
    <w:rsid w:val="00BE05C7"/>
    <w:rsid w:val="00BE0851"/>
    <w:rsid w:val="00BE08C4"/>
    <w:rsid w:val="00BE0DB8"/>
    <w:rsid w:val="00BE115D"/>
    <w:rsid w:val="00BE144E"/>
    <w:rsid w:val="00BE1566"/>
    <w:rsid w:val="00BE1625"/>
    <w:rsid w:val="00BE1663"/>
    <w:rsid w:val="00BE2A2E"/>
    <w:rsid w:val="00BE309F"/>
    <w:rsid w:val="00BE3E7D"/>
    <w:rsid w:val="00BE440E"/>
    <w:rsid w:val="00BE4771"/>
    <w:rsid w:val="00BE4835"/>
    <w:rsid w:val="00BE4857"/>
    <w:rsid w:val="00BE4BB1"/>
    <w:rsid w:val="00BE50F3"/>
    <w:rsid w:val="00BE542F"/>
    <w:rsid w:val="00BE54DC"/>
    <w:rsid w:val="00BE5FA3"/>
    <w:rsid w:val="00BE6423"/>
    <w:rsid w:val="00BE7E09"/>
    <w:rsid w:val="00BF1511"/>
    <w:rsid w:val="00BF1C3B"/>
    <w:rsid w:val="00BF203A"/>
    <w:rsid w:val="00BF220F"/>
    <w:rsid w:val="00BF2995"/>
    <w:rsid w:val="00BF3471"/>
    <w:rsid w:val="00BF355D"/>
    <w:rsid w:val="00BF38D3"/>
    <w:rsid w:val="00BF42FC"/>
    <w:rsid w:val="00BF46A7"/>
    <w:rsid w:val="00BF4A5F"/>
    <w:rsid w:val="00BF4B73"/>
    <w:rsid w:val="00BF4C30"/>
    <w:rsid w:val="00BF565B"/>
    <w:rsid w:val="00BF5E70"/>
    <w:rsid w:val="00BF648F"/>
    <w:rsid w:val="00BF7109"/>
    <w:rsid w:val="00BF788E"/>
    <w:rsid w:val="00BF7E4B"/>
    <w:rsid w:val="00C00279"/>
    <w:rsid w:val="00C00721"/>
    <w:rsid w:val="00C01156"/>
    <w:rsid w:val="00C01553"/>
    <w:rsid w:val="00C01BCF"/>
    <w:rsid w:val="00C02094"/>
    <w:rsid w:val="00C028E7"/>
    <w:rsid w:val="00C0308C"/>
    <w:rsid w:val="00C03DE0"/>
    <w:rsid w:val="00C0405A"/>
    <w:rsid w:val="00C041EB"/>
    <w:rsid w:val="00C04218"/>
    <w:rsid w:val="00C047A2"/>
    <w:rsid w:val="00C05659"/>
    <w:rsid w:val="00C05744"/>
    <w:rsid w:val="00C05B73"/>
    <w:rsid w:val="00C05EDF"/>
    <w:rsid w:val="00C06001"/>
    <w:rsid w:val="00C063AA"/>
    <w:rsid w:val="00C0711D"/>
    <w:rsid w:val="00C07394"/>
    <w:rsid w:val="00C07A2F"/>
    <w:rsid w:val="00C101C1"/>
    <w:rsid w:val="00C10F74"/>
    <w:rsid w:val="00C110AE"/>
    <w:rsid w:val="00C11256"/>
    <w:rsid w:val="00C1134F"/>
    <w:rsid w:val="00C1140F"/>
    <w:rsid w:val="00C11EA8"/>
    <w:rsid w:val="00C12022"/>
    <w:rsid w:val="00C12836"/>
    <w:rsid w:val="00C12E6D"/>
    <w:rsid w:val="00C12EC9"/>
    <w:rsid w:val="00C12F34"/>
    <w:rsid w:val="00C12FBF"/>
    <w:rsid w:val="00C130D4"/>
    <w:rsid w:val="00C14602"/>
    <w:rsid w:val="00C146CE"/>
    <w:rsid w:val="00C148CE"/>
    <w:rsid w:val="00C152CF"/>
    <w:rsid w:val="00C1533C"/>
    <w:rsid w:val="00C15956"/>
    <w:rsid w:val="00C15A18"/>
    <w:rsid w:val="00C1628E"/>
    <w:rsid w:val="00C166FA"/>
    <w:rsid w:val="00C1677D"/>
    <w:rsid w:val="00C17847"/>
    <w:rsid w:val="00C17D6F"/>
    <w:rsid w:val="00C20204"/>
    <w:rsid w:val="00C20E6C"/>
    <w:rsid w:val="00C2137A"/>
    <w:rsid w:val="00C21AFC"/>
    <w:rsid w:val="00C229FC"/>
    <w:rsid w:val="00C23085"/>
    <w:rsid w:val="00C23C4E"/>
    <w:rsid w:val="00C23C85"/>
    <w:rsid w:val="00C247F3"/>
    <w:rsid w:val="00C24BCF"/>
    <w:rsid w:val="00C25136"/>
    <w:rsid w:val="00C25938"/>
    <w:rsid w:val="00C262A8"/>
    <w:rsid w:val="00C26501"/>
    <w:rsid w:val="00C27513"/>
    <w:rsid w:val="00C30C8F"/>
    <w:rsid w:val="00C30EA1"/>
    <w:rsid w:val="00C3153D"/>
    <w:rsid w:val="00C317C8"/>
    <w:rsid w:val="00C33414"/>
    <w:rsid w:val="00C33B79"/>
    <w:rsid w:val="00C353BD"/>
    <w:rsid w:val="00C3543C"/>
    <w:rsid w:val="00C358DB"/>
    <w:rsid w:val="00C35A76"/>
    <w:rsid w:val="00C36076"/>
    <w:rsid w:val="00C3686F"/>
    <w:rsid w:val="00C37548"/>
    <w:rsid w:val="00C3797C"/>
    <w:rsid w:val="00C37996"/>
    <w:rsid w:val="00C37A7D"/>
    <w:rsid w:val="00C4056A"/>
    <w:rsid w:val="00C4062D"/>
    <w:rsid w:val="00C40E40"/>
    <w:rsid w:val="00C41D74"/>
    <w:rsid w:val="00C41E1D"/>
    <w:rsid w:val="00C42C9D"/>
    <w:rsid w:val="00C42CF1"/>
    <w:rsid w:val="00C43960"/>
    <w:rsid w:val="00C44139"/>
    <w:rsid w:val="00C45485"/>
    <w:rsid w:val="00C4570F"/>
    <w:rsid w:val="00C47334"/>
    <w:rsid w:val="00C50E46"/>
    <w:rsid w:val="00C516AE"/>
    <w:rsid w:val="00C524AD"/>
    <w:rsid w:val="00C525D0"/>
    <w:rsid w:val="00C5299A"/>
    <w:rsid w:val="00C533B5"/>
    <w:rsid w:val="00C5389A"/>
    <w:rsid w:val="00C54536"/>
    <w:rsid w:val="00C549AC"/>
    <w:rsid w:val="00C54A08"/>
    <w:rsid w:val="00C56B9C"/>
    <w:rsid w:val="00C5777F"/>
    <w:rsid w:val="00C57BB7"/>
    <w:rsid w:val="00C600E7"/>
    <w:rsid w:val="00C60C40"/>
    <w:rsid w:val="00C610EA"/>
    <w:rsid w:val="00C613B9"/>
    <w:rsid w:val="00C61468"/>
    <w:rsid w:val="00C6202C"/>
    <w:rsid w:val="00C629C8"/>
    <w:rsid w:val="00C62DE3"/>
    <w:rsid w:val="00C6346A"/>
    <w:rsid w:val="00C63757"/>
    <w:rsid w:val="00C638B8"/>
    <w:rsid w:val="00C63A66"/>
    <w:rsid w:val="00C63A75"/>
    <w:rsid w:val="00C64316"/>
    <w:rsid w:val="00C64975"/>
    <w:rsid w:val="00C65498"/>
    <w:rsid w:val="00C66047"/>
    <w:rsid w:val="00C668B9"/>
    <w:rsid w:val="00C66BA1"/>
    <w:rsid w:val="00C67149"/>
    <w:rsid w:val="00C67252"/>
    <w:rsid w:val="00C676E4"/>
    <w:rsid w:val="00C67761"/>
    <w:rsid w:val="00C70130"/>
    <w:rsid w:val="00C70D6B"/>
    <w:rsid w:val="00C71C46"/>
    <w:rsid w:val="00C72D36"/>
    <w:rsid w:val="00C74AC0"/>
    <w:rsid w:val="00C74BD5"/>
    <w:rsid w:val="00C75438"/>
    <w:rsid w:val="00C759F7"/>
    <w:rsid w:val="00C75F5F"/>
    <w:rsid w:val="00C76136"/>
    <w:rsid w:val="00C76ABB"/>
    <w:rsid w:val="00C771C5"/>
    <w:rsid w:val="00C77BD4"/>
    <w:rsid w:val="00C8029C"/>
    <w:rsid w:val="00C802C9"/>
    <w:rsid w:val="00C80C3A"/>
    <w:rsid w:val="00C81D38"/>
    <w:rsid w:val="00C81DD8"/>
    <w:rsid w:val="00C82B12"/>
    <w:rsid w:val="00C82DFE"/>
    <w:rsid w:val="00C8329E"/>
    <w:rsid w:val="00C83B78"/>
    <w:rsid w:val="00C83BB1"/>
    <w:rsid w:val="00C83E64"/>
    <w:rsid w:val="00C843E2"/>
    <w:rsid w:val="00C85EE1"/>
    <w:rsid w:val="00C861A7"/>
    <w:rsid w:val="00C86659"/>
    <w:rsid w:val="00C86856"/>
    <w:rsid w:val="00C86A00"/>
    <w:rsid w:val="00C86B5E"/>
    <w:rsid w:val="00C87149"/>
    <w:rsid w:val="00C8732A"/>
    <w:rsid w:val="00C87337"/>
    <w:rsid w:val="00C8746A"/>
    <w:rsid w:val="00C90B49"/>
    <w:rsid w:val="00C913E3"/>
    <w:rsid w:val="00C91604"/>
    <w:rsid w:val="00C920B0"/>
    <w:rsid w:val="00C9289D"/>
    <w:rsid w:val="00C92C1C"/>
    <w:rsid w:val="00C93743"/>
    <w:rsid w:val="00C93A2A"/>
    <w:rsid w:val="00C95343"/>
    <w:rsid w:val="00C955F1"/>
    <w:rsid w:val="00C959D9"/>
    <w:rsid w:val="00C95D8E"/>
    <w:rsid w:val="00C96047"/>
    <w:rsid w:val="00C967DB"/>
    <w:rsid w:val="00C969DA"/>
    <w:rsid w:val="00C97138"/>
    <w:rsid w:val="00CA0053"/>
    <w:rsid w:val="00CA021D"/>
    <w:rsid w:val="00CA0D61"/>
    <w:rsid w:val="00CA1798"/>
    <w:rsid w:val="00CA1849"/>
    <w:rsid w:val="00CA18B4"/>
    <w:rsid w:val="00CA2250"/>
    <w:rsid w:val="00CA241D"/>
    <w:rsid w:val="00CA276F"/>
    <w:rsid w:val="00CA3293"/>
    <w:rsid w:val="00CA3A26"/>
    <w:rsid w:val="00CA3D9B"/>
    <w:rsid w:val="00CA3DB9"/>
    <w:rsid w:val="00CA4293"/>
    <w:rsid w:val="00CA5F85"/>
    <w:rsid w:val="00CA61B5"/>
    <w:rsid w:val="00CA6E50"/>
    <w:rsid w:val="00CA6F1B"/>
    <w:rsid w:val="00CA7815"/>
    <w:rsid w:val="00CA7AAE"/>
    <w:rsid w:val="00CA7B3D"/>
    <w:rsid w:val="00CB0031"/>
    <w:rsid w:val="00CB0B4D"/>
    <w:rsid w:val="00CB105A"/>
    <w:rsid w:val="00CB1BC4"/>
    <w:rsid w:val="00CB2798"/>
    <w:rsid w:val="00CB2A03"/>
    <w:rsid w:val="00CB47DA"/>
    <w:rsid w:val="00CB5142"/>
    <w:rsid w:val="00CB5275"/>
    <w:rsid w:val="00CB540C"/>
    <w:rsid w:val="00CB572F"/>
    <w:rsid w:val="00CB5802"/>
    <w:rsid w:val="00CB6758"/>
    <w:rsid w:val="00CB6CF2"/>
    <w:rsid w:val="00CC0384"/>
    <w:rsid w:val="00CC03F3"/>
    <w:rsid w:val="00CC07C9"/>
    <w:rsid w:val="00CC0BB3"/>
    <w:rsid w:val="00CC0F33"/>
    <w:rsid w:val="00CC1A1F"/>
    <w:rsid w:val="00CC1F31"/>
    <w:rsid w:val="00CC1FE1"/>
    <w:rsid w:val="00CC24CC"/>
    <w:rsid w:val="00CC29E0"/>
    <w:rsid w:val="00CC3A8B"/>
    <w:rsid w:val="00CC3FC1"/>
    <w:rsid w:val="00CC435F"/>
    <w:rsid w:val="00CC46E2"/>
    <w:rsid w:val="00CC4FD0"/>
    <w:rsid w:val="00CC7069"/>
    <w:rsid w:val="00CD1FCE"/>
    <w:rsid w:val="00CD3B8C"/>
    <w:rsid w:val="00CD50BE"/>
    <w:rsid w:val="00CD59E9"/>
    <w:rsid w:val="00CD5D6A"/>
    <w:rsid w:val="00CD5F6F"/>
    <w:rsid w:val="00CD61FA"/>
    <w:rsid w:val="00CD62D4"/>
    <w:rsid w:val="00CD6D09"/>
    <w:rsid w:val="00CD72D1"/>
    <w:rsid w:val="00CD77BF"/>
    <w:rsid w:val="00CD7BB1"/>
    <w:rsid w:val="00CE09C5"/>
    <w:rsid w:val="00CE1028"/>
    <w:rsid w:val="00CE11EB"/>
    <w:rsid w:val="00CE1465"/>
    <w:rsid w:val="00CE17CC"/>
    <w:rsid w:val="00CE1BE2"/>
    <w:rsid w:val="00CE2F5F"/>
    <w:rsid w:val="00CE300B"/>
    <w:rsid w:val="00CE308F"/>
    <w:rsid w:val="00CE355D"/>
    <w:rsid w:val="00CE37F7"/>
    <w:rsid w:val="00CE3C56"/>
    <w:rsid w:val="00CE3DBD"/>
    <w:rsid w:val="00CE3F95"/>
    <w:rsid w:val="00CE5103"/>
    <w:rsid w:val="00CE5419"/>
    <w:rsid w:val="00CE61DF"/>
    <w:rsid w:val="00CE6FF2"/>
    <w:rsid w:val="00CE72F7"/>
    <w:rsid w:val="00CE77C0"/>
    <w:rsid w:val="00CE7B64"/>
    <w:rsid w:val="00CF027C"/>
    <w:rsid w:val="00CF037C"/>
    <w:rsid w:val="00CF0D5B"/>
    <w:rsid w:val="00CF1889"/>
    <w:rsid w:val="00CF1D47"/>
    <w:rsid w:val="00CF2182"/>
    <w:rsid w:val="00CF328D"/>
    <w:rsid w:val="00CF394F"/>
    <w:rsid w:val="00CF42FF"/>
    <w:rsid w:val="00CF4F5E"/>
    <w:rsid w:val="00CF60EF"/>
    <w:rsid w:val="00CF61F0"/>
    <w:rsid w:val="00CF67E3"/>
    <w:rsid w:val="00CF72D3"/>
    <w:rsid w:val="00CF7C00"/>
    <w:rsid w:val="00CF7C9F"/>
    <w:rsid w:val="00D01530"/>
    <w:rsid w:val="00D01A04"/>
    <w:rsid w:val="00D01B61"/>
    <w:rsid w:val="00D01B93"/>
    <w:rsid w:val="00D01BEC"/>
    <w:rsid w:val="00D0210E"/>
    <w:rsid w:val="00D03552"/>
    <w:rsid w:val="00D03BCE"/>
    <w:rsid w:val="00D0426C"/>
    <w:rsid w:val="00D0452B"/>
    <w:rsid w:val="00D0487A"/>
    <w:rsid w:val="00D05664"/>
    <w:rsid w:val="00D05FF6"/>
    <w:rsid w:val="00D06AC3"/>
    <w:rsid w:val="00D07957"/>
    <w:rsid w:val="00D10A0A"/>
    <w:rsid w:val="00D10A53"/>
    <w:rsid w:val="00D11040"/>
    <w:rsid w:val="00D11C43"/>
    <w:rsid w:val="00D13014"/>
    <w:rsid w:val="00D131A2"/>
    <w:rsid w:val="00D137D7"/>
    <w:rsid w:val="00D1383C"/>
    <w:rsid w:val="00D1410B"/>
    <w:rsid w:val="00D14281"/>
    <w:rsid w:val="00D142DE"/>
    <w:rsid w:val="00D151F0"/>
    <w:rsid w:val="00D155BE"/>
    <w:rsid w:val="00D16084"/>
    <w:rsid w:val="00D1658B"/>
    <w:rsid w:val="00D17A5D"/>
    <w:rsid w:val="00D17ACB"/>
    <w:rsid w:val="00D20B4B"/>
    <w:rsid w:val="00D223F5"/>
    <w:rsid w:val="00D25355"/>
    <w:rsid w:val="00D256E2"/>
    <w:rsid w:val="00D25BAE"/>
    <w:rsid w:val="00D25C18"/>
    <w:rsid w:val="00D264F5"/>
    <w:rsid w:val="00D26B24"/>
    <w:rsid w:val="00D26DAA"/>
    <w:rsid w:val="00D26F25"/>
    <w:rsid w:val="00D300CF"/>
    <w:rsid w:val="00D302B7"/>
    <w:rsid w:val="00D307E2"/>
    <w:rsid w:val="00D308A0"/>
    <w:rsid w:val="00D30A1B"/>
    <w:rsid w:val="00D3103F"/>
    <w:rsid w:val="00D314B9"/>
    <w:rsid w:val="00D31E22"/>
    <w:rsid w:val="00D31F41"/>
    <w:rsid w:val="00D3206E"/>
    <w:rsid w:val="00D325D6"/>
    <w:rsid w:val="00D32A73"/>
    <w:rsid w:val="00D34342"/>
    <w:rsid w:val="00D34948"/>
    <w:rsid w:val="00D35401"/>
    <w:rsid w:val="00D36D6F"/>
    <w:rsid w:val="00D37268"/>
    <w:rsid w:val="00D3795D"/>
    <w:rsid w:val="00D37AEB"/>
    <w:rsid w:val="00D37D9E"/>
    <w:rsid w:val="00D409F8"/>
    <w:rsid w:val="00D41576"/>
    <w:rsid w:val="00D423E1"/>
    <w:rsid w:val="00D424A5"/>
    <w:rsid w:val="00D4318D"/>
    <w:rsid w:val="00D4346D"/>
    <w:rsid w:val="00D439BD"/>
    <w:rsid w:val="00D43EAE"/>
    <w:rsid w:val="00D4449B"/>
    <w:rsid w:val="00D44ABE"/>
    <w:rsid w:val="00D4533F"/>
    <w:rsid w:val="00D454DD"/>
    <w:rsid w:val="00D464A1"/>
    <w:rsid w:val="00D46547"/>
    <w:rsid w:val="00D46A3D"/>
    <w:rsid w:val="00D46AE4"/>
    <w:rsid w:val="00D46D31"/>
    <w:rsid w:val="00D47832"/>
    <w:rsid w:val="00D47D45"/>
    <w:rsid w:val="00D5021D"/>
    <w:rsid w:val="00D50521"/>
    <w:rsid w:val="00D50E7F"/>
    <w:rsid w:val="00D51066"/>
    <w:rsid w:val="00D51CD8"/>
    <w:rsid w:val="00D5255E"/>
    <w:rsid w:val="00D529DA"/>
    <w:rsid w:val="00D52A45"/>
    <w:rsid w:val="00D52B1B"/>
    <w:rsid w:val="00D53E71"/>
    <w:rsid w:val="00D543E8"/>
    <w:rsid w:val="00D549ED"/>
    <w:rsid w:val="00D54E99"/>
    <w:rsid w:val="00D54F88"/>
    <w:rsid w:val="00D55124"/>
    <w:rsid w:val="00D55AC3"/>
    <w:rsid w:val="00D562AF"/>
    <w:rsid w:val="00D56F46"/>
    <w:rsid w:val="00D574CC"/>
    <w:rsid w:val="00D60603"/>
    <w:rsid w:val="00D60F29"/>
    <w:rsid w:val="00D6123E"/>
    <w:rsid w:val="00D61930"/>
    <w:rsid w:val="00D62CB7"/>
    <w:rsid w:val="00D637F9"/>
    <w:rsid w:val="00D63A8A"/>
    <w:rsid w:val="00D657A7"/>
    <w:rsid w:val="00D65E07"/>
    <w:rsid w:val="00D65E38"/>
    <w:rsid w:val="00D65FC9"/>
    <w:rsid w:val="00D661CE"/>
    <w:rsid w:val="00D66963"/>
    <w:rsid w:val="00D66D39"/>
    <w:rsid w:val="00D67103"/>
    <w:rsid w:val="00D67109"/>
    <w:rsid w:val="00D67658"/>
    <w:rsid w:val="00D704EB"/>
    <w:rsid w:val="00D70A45"/>
    <w:rsid w:val="00D70CE3"/>
    <w:rsid w:val="00D70F9F"/>
    <w:rsid w:val="00D70FEF"/>
    <w:rsid w:val="00D710C5"/>
    <w:rsid w:val="00D713C1"/>
    <w:rsid w:val="00D71733"/>
    <w:rsid w:val="00D72367"/>
    <w:rsid w:val="00D73914"/>
    <w:rsid w:val="00D73B08"/>
    <w:rsid w:val="00D74751"/>
    <w:rsid w:val="00D754D4"/>
    <w:rsid w:val="00D75BCC"/>
    <w:rsid w:val="00D761F6"/>
    <w:rsid w:val="00D7659A"/>
    <w:rsid w:val="00D7659D"/>
    <w:rsid w:val="00D76F64"/>
    <w:rsid w:val="00D77605"/>
    <w:rsid w:val="00D77E73"/>
    <w:rsid w:val="00D80D70"/>
    <w:rsid w:val="00D85035"/>
    <w:rsid w:val="00D850AD"/>
    <w:rsid w:val="00D854C5"/>
    <w:rsid w:val="00D85883"/>
    <w:rsid w:val="00D85F33"/>
    <w:rsid w:val="00D864E5"/>
    <w:rsid w:val="00D87CB6"/>
    <w:rsid w:val="00D87D85"/>
    <w:rsid w:val="00D90221"/>
    <w:rsid w:val="00D90296"/>
    <w:rsid w:val="00D90527"/>
    <w:rsid w:val="00D916DF"/>
    <w:rsid w:val="00D9199C"/>
    <w:rsid w:val="00D92426"/>
    <w:rsid w:val="00D94216"/>
    <w:rsid w:val="00D951B3"/>
    <w:rsid w:val="00D9592E"/>
    <w:rsid w:val="00D95DC5"/>
    <w:rsid w:val="00D962E9"/>
    <w:rsid w:val="00D96862"/>
    <w:rsid w:val="00D97C54"/>
    <w:rsid w:val="00D97DE0"/>
    <w:rsid w:val="00DA0103"/>
    <w:rsid w:val="00DA0384"/>
    <w:rsid w:val="00DA070D"/>
    <w:rsid w:val="00DA0805"/>
    <w:rsid w:val="00DA088A"/>
    <w:rsid w:val="00DA0A43"/>
    <w:rsid w:val="00DA203B"/>
    <w:rsid w:val="00DA3022"/>
    <w:rsid w:val="00DA346A"/>
    <w:rsid w:val="00DA35E6"/>
    <w:rsid w:val="00DA360E"/>
    <w:rsid w:val="00DA42E6"/>
    <w:rsid w:val="00DA5FCF"/>
    <w:rsid w:val="00DA617C"/>
    <w:rsid w:val="00DA63AD"/>
    <w:rsid w:val="00DA6D7B"/>
    <w:rsid w:val="00DA7A20"/>
    <w:rsid w:val="00DA7E1D"/>
    <w:rsid w:val="00DB04AC"/>
    <w:rsid w:val="00DB0706"/>
    <w:rsid w:val="00DB0928"/>
    <w:rsid w:val="00DB0B73"/>
    <w:rsid w:val="00DB151E"/>
    <w:rsid w:val="00DB1947"/>
    <w:rsid w:val="00DB1A3D"/>
    <w:rsid w:val="00DB20A8"/>
    <w:rsid w:val="00DB22A5"/>
    <w:rsid w:val="00DB26B0"/>
    <w:rsid w:val="00DB2706"/>
    <w:rsid w:val="00DB3B80"/>
    <w:rsid w:val="00DB4052"/>
    <w:rsid w:val="00DB4092"/>
    <w:rsid w:val="00DB42CB"/>
    <w:rsid w:val="00DB475A"/>
    <w:rsid w:val="00DB5144"/>
    <w:rsid w:val="00DB5A27"/>
    <w:rsid w:val="00DB5DB8"/>
    <w:rsid w:val="00DB61D7"/>
    <w:rsid w:val="00DB61DE"/>
    <w:rsid w:val="00DB623D"/>
    <w:rsid w:val="00DB6711"/>
    <w:rsid w:val="00DB6A30"/>
    <w:rsid w:val="00DB70E9"/>
    <w:rsid w:val="00DC0A8B"/>
    <w:rsid w:val="00DC33FC"/>
    <w:rsid w:val="00DC38B9"/>
    <w:rsid w:val="00DC38E8"/>
    <w:rsid w:val="00DC416F"/>
    <w:rsid w:val="00DC429D"/>
    <w:rsid w:val="00DC4799"/>
    <w:rsid w:val="00DC4D55"/>
    <w:rsid w:val="00DC5A5F"/>
    <w:rsid w:val="00DC5D24"/>
    <w:rsid w:val="00DC66A1"/>
    <w:rsid w:val="00DC672B"/>
    <w:rsid w:val="00DC6D60"/>
    <w:rsid w:val="00DC6E31"/>
    <w:rsid w:val="00DC6E94"/>
    <w:rsid w:val="00DC7AED"/>
    <w:rsid w:val="00DD0000"/>
    <w:rsid w:val="00DD0CEE"/>
    <w:rsid w:val="00DD1AA5"/>
    <w:rsid w:val="00DD2EA8"/>
    <w:rsid w:val="00DD30F6"/>
    <w:rsid w:val="00DD34F3"/>
    <w:rsid w:val="00DD3F91"/>
    <w:rsid w:val="00DD4618"/>
    <w:rsid w:val="00DD469E"/>
    <w:rsid w:val="00DD604D"/>
    <w:rsid w:val="00DD6221"/>
    <w:rsid w:val="00DD7EEE"/>
    <w:rsid w:val="00DE0E92"/>
    <w:rsid w:val="00DE1423"/>
    <w:rsid w:val="00DE1652"/>
    <w:rsid w:val="00DE2517"/>
    <w:rsid w:val="00DE273C"/>
    <w:rsid w:val="00DE3D1E"/>
    <w:rsid w:val="00DE4B79"/>
    <w:rsid w:val="00DE505A"/>
    <w:rsid w:val="00DE51A7"/>
    <w:rsid w:val="00DE58F5"/>
    <w:rsid w:val="00DE5F93"/>
    <w:rsid w:val="00DE610F"/>
    <w:rsid w:val="00DE686B"/>
    <w:rsid w:val="00DE6963"/>
    <w:rsid w:val="00DE7065"/>
    <w:rsid w:val="00DE7251"/>
    <w:rsid w:val="00DF1319"/>
    <w:rsid w:val="00DF20D1"/>
    <w:rsid w:val="00DF220B"/>
    <w:rsid w:val="00DF26D6"/>
    <w:rsid w:val="00DF2F2D"/>
    <w:rsid w:val="00DF35B0"/>
    <w:rsid w:val="00DF3B20"/>
    <w:rsid w:val="00DF41AE"/>
    <w:rsid w:val="00DF4280"/>
    <w:rsid w:val="00DF4334"/>
    <w:rsid w:val="00DF434E"/>
    <w:rsid w:val="00DF47CA"/>
    <w:rsid w:val="00DF4EA9"/>
    <w:rsid w:val="00DF5148"/>
    <w:rsid w:val="00DF51AA"/>
    <w:rsid w:val="00DF5E40"/>
    <w:rsid w:val="00DF614D"/>
    <w:rsid w:val="00DF7A55"/>
    <w:rsid w:val="00DF7F6B"/>
    <w:rsid w:val="00E000F0"/>
    <w:rsid w:val="00E01119"/>
    <w:rsid w:val="00E01520"/>
    <w:rsid w:val="00E01CDD"/>
    <w:rsid w:val="00E02B7F"/>
    <w:rsid w:val="00E044F4"/>
    <w:rsid w:val="00E045A3"/>
    <w:rsid w:val="00E05D8A"/>
    <w:rsid w:val="00E06C5B"/>
    <w:rsid w:val="00E06F87"/>
    <w:rsid w:val="00E06FBD"/>
    <w:rsid w:val="00E0740A"/>
    <w:rsid w:val="00E07B9C"/>
    <w:rsid w:val="00E07D1A"/>
    <w:rsid w:val="00E10559"/>
    <w:rsid w:val="00E10E4A"/>
    <w:rsid w:val="00E10FE5"/>
    <w:rsid w:val="00E11537"/>
    <w:rsid w:val="00E1274A"/>
    <w:rsid w:val="00E1290D"/>
    <w:rsid w:val="00E13335"/>
    <w:rsid w:val="00E135AF"/>
    <w:rsid w:val="00E13AF2"/>
    <w:rsid w:val="00E144BC"/>
    <w:rsid w:val="00E15F84"/>
    <w:rsid w:val="00E167B2"/>
    <w:rsid w:val="00E16A49"/>
    <w:rsid w:val="00E17607"/>
    <w:rsid w:val="00E177AF"/>
    <w:rsid w:val="00E17B11"/>
    <w:rsid w:val="00E17E23"/>
    <w:rsid w:val="00E20A2A"/>
    <w:rsid w:val="00E211D7"/>
    <w:rsid w:val="00E21964"/>
    <w:rsid w:val="00E21B66"/>
    <w:rsid w:val="00E22026"/>
    <w:rsid w:val="00E2248B"/>
    <w:rsid w:val="00E23778"/>
    <w:rsid w:val="00E23D54"/>
    <w:rsid w:val="00E240F6"/>
    <w:rsid w:val="00E2455E"/>
    <w:rsid w:val="00E2503B"/>
    <w:rsid w:val="00E25320"/>
    <w:rsid w:val="00E2593D"/>
    <w:rsid w:val="00E25FC4"/>
    <w:rsid w:val="00E2663F"/>
    <w:rsid w:val="00E2704D"/>
    <w:rsid w:val="00E274B4"/>
    <w:rsid w:val="00E27A18"/>
    <w:rsid w:val="00E27EB9"/>
    <w:rsid w:val="00E3046A"/>
    <w:rsid w:val="00E309C4"/>
    <w:rsid w:val="00E30BC2"/>
    <w:rsid w:val="00E30D1E"/>
    <w:rsid w:val="00E31182"/>
    <w:rsid w:val="00E31679"/>
    <w:rsid w:val="00E31BED"/>
    <w:rsid w:val="00E31CA4"/>
    <w:rsid w:val="00E32D82"/>
    <w:rsid w:val="00E32E57"/>
    <w:rsid w:val="00E32E6C"/>
    <w:rsid w:val="00E3360B"/>
    <w:rsid w:val="00E339FD"/>
    <w:rsid w:val="00E33F1D"/>
    <w:rsid w:val="00E342B6"/>
    <w:rsid w:val="00E34C6E"/>
    <w:rsid w:val="00E35369"/>
    <w:rsid w:val="00E353FD"/>
    <w:rsid w:val="00E35F06"/>
    <w:rsid w:val="00E36535"/>
    <w:rsid w:val="00E36F98"/>
    <w:rsid w:val="00E37077"/>
    <w:rsid w:val="00E3733E"/>
    <w:rsid w:val="00E376AC"/>
    <w:rsid w:val="00E378E0"/>
    <w:rsid w:val="00E37BF8"/>
    <w:rsid w:val="00E407A1"/>
    <w:rsid w:val="00E410ED"/>
    <w:rsid w:val="00E41A96"/>
    <w:rsid w:val="00E42519"/>
    <w:rsid w:val="00E42F5D"/>
    <w:rsid w:val="00E43848"/>
    <w:rsid w:val="00E43DF4"/>
    <w:rsid w:val="00E44AF7"/>
    <w:rsid w:val="00E45EA0"/>
    <w:rsid w:val="00E46624"/>
    <w:rsid w:val="00E46907"/>
    <w:rsid w:val="00E46E91"/>
    <w:rsid w:val="00E47D51"/>
    <w:rsid w:val="00E509B8"/>
    <w:rsid w:val="00E50DD3"/>
    <w:rsid w:val="00E510DF"/>
    <w:rsid w:val="00E5119C"/>
    <w:rsid w:val="00E51723"/>
    <w:rsid w:val="00E51828"/>
    <w:rsid w:val="00E52117"/>
    <w:rsid w:val="00E52D92"/>
    <w:rsid w:val="00E53687"/>
    <w:rsid w:val="00E5389A"/>
    <w:rsid w:val="00E53A5A"/>
    <w:rsid w:val="00E5450C"/>
    <w:rsid w:val="00E54E57"/>
    <w:rsid w:val="00E55353"/>
    <w:rsid w:val="00E559E3"/>
    <w:rsid w:val="00E55BCC"/>
    <w:rsid w:val="00E55CAF"/>
    <w:rsid w:val="00E56EC7"/>
    <w:rsid w:val="00E56F43"/>
    <w:rsid w:val="00E60B6D"/>
    <w:rsid w:val="00E6368A"/>
    <w:rsid w:val="00E636A4"/>
    <w:rsid w:val="00E64F7E"/>
    <w:rsid w:val="00E65BA6"/>
    <w:rsid w:val="00E667FA"/>
    <w:rsid w:val="00E6693B"/>
    <w:rsid w:val="00E66AA2"/>
    <w:rsid w:val="00E66C22"/>
    <w:rsid w:val="00E66EFC"/>
    <w:rsid w:val="00E66F57"/>
    <w:rsid w:val="00E6749C"/>
    <w:rsid w:val="00E70B7B"/>
    <w:rsid w:val="00E70E3C"/>
    <w:rsid w:val="00E712E9"/>
    <w:rsid w:val="00E715B8"/>
    <w:rsid w:val="00E7187B"/>
    <w:rsid w:val="00E71AA5"/>
    <w:rsid w:val="00E71EAD"/>
    <w:rsid w:val="00E72FEB"/>
    <w:rsid w:val="00E73D78"/>
    <w:rsid w:val="00E74865"/>
    <w:rsid w:val="00E75624"/>
    <w:rsid w:val="00E7597D"/>
    <w:rsid w:val="00E75E31"/>
    <w:rsid w:val="00E7611B"/>
    <w:rsid w:val="00E76E6D"/>
    <w:rsid w:val="00E80305"/>
    <w:rsid w:val="00E80651"/>
    <w:rsid w:val="00E81088"/>
    <w:rsid w:val="00E8150E"/>
    <w:rsid w:val="00E818E0"/>
    <w:rsid w:val="00E82B2B"/>
    <w:rsid w:val="00E8388E"/>
    <w:rsid w:val="00E8403D"/>
    <w:rsid w:val="00E84F72"/>
    <w:rsid w:val="00E84FD4"/>
    <w:rsid w:val="00E86708"/>
    <w:rsid w:val="00E86A7A"/>
    <w:rsid w:val="00E86CAE"/>
    <w:rsid w:val="00E86EE3"/>
    <w:rsid w:val="00E902C8"/>
    <w:rsid w:val="00E91668"/>
    <w:rsid w:val="00E92671"/>
    <w:rsid w:val="00E92933"/>
    <w:rsid w:val="00E9386B"/>
    <w:rsid w:val="00E93C19"/>
    <w:rsid w:val="00E9411A"/>
    <w:rsid w:val="00E9538A"/>
    <w:rsid w:val="00E95D22"/>
    <w:rsid w:val="00E96CC7"/>
    <w:rsid w:val="00E96CCF"/>
    <w:rsid w:val="00E9708D"/>
    <w:rsid w:val="00E971F7"/>
    <w:rsid w:val="00E97C1D"/>
    <w:rsid w:val="00EA0A56"/>
    <w:rsid w:val="00EA141E"/>
    <w:rsid w:val="00EA1658"/>
    <w:rsid w:val="00EA16D3"/>
    <w:rsid w:val="00EA18F5"/>
    <w:rsid w:val="00EA1C14"/>
    <w:rsid w:val="00EA1FAE"/>
    <w:rsid w:val="00EA2238"/>
    <w:rsid w:val="00EA2AA7"/>
    <w:rsid w:val="00EA4302"/>
    <w:rsid w:val="00EA47C9"/>
    <w:rsid w:val="00EA59AD"/>
    <w:rsid w:val="00EA63C8"/>
    <w:rsid w:val="00EA6E35"/>
    <w:rsid w:val="00EA7BF7"/>
    <w:rsid w:val="00EB0194"/>
    <w:rsid w:val="00EB05EA"/>
    <w:rsid w:val="00EB076F"/>
    <w:rsid w:val="00EB086D"/>
    <w:rsid w:val="00EB1B26"/>
    <w:rsid w:val="00EB1E70"/>
    <w:rsid w:val="00EB26FC"/>
    <w:rsid w:val="00EB2A6E"/>
    <w:rsid w:val="00EB3129"/>
    <w:rsid w:val="00EB3130"/>
    <w:rsid w:val="00EB3187"/>
    <w:rsid w:val="00EB337D"/>
    <w:rsid w:val="00EB33B2"/>
    <w:rsid w:val="00EB3DB5"/>
    <w:rsid w:val="00EB40A6"/>
    <w:rsid w:val="00EB5423"/>
    <w:rsid w:val="00EB5A5B"/>
    <w:rsid w:val="00EB7237"/>
    <w:rsid w:val="00EB7323"/>
    <w:rsid w:val="00EB7B7C"/>
    <w:rsid w:val="00EB7B92"/>
    <w:rsid w:val="00EC010F"/>
    <w:rsid w:val="00EC0568"/>
    <w:rsid w:val="00EC073C"/>
    <w:rsid w:val="00EC12A3"/>
    <w:rsid w:val="00EC1B42"/>
    <w:rsid w:val="00EC1E53"/>
    <w:rsid w:val="00EC2D6E"/>
    <w:rsid w:val="00EC3186"/>
    <w:rsid w:val="00EC35A8"/>
    <w:rsid w:val="00EC35DD"/>
    <w:rsid w:val="00EC3B86"/>
    <w:rsid w:val="00EC3D9C"/>
    <w:rsid w:val="00EC43EC"/>
    <w:rsid w:val="00EC4B29"/>
    <w:rsid w:val="00EC526A"/>
    <w:rsid w:val="00EC559C"/>
    <w:rsid w:val="00EC55F4"/>
    <w:rsid w:val="00EC5B42"/>
    <w:rsid w:val="00EC6534"/>
    <w:rsid w:val="00EC7061"/>
    <w:rsid w:val="00EC785E"/>
    <w:rsid w:val="00EC7969"/>
    <w:rsid w:val="00ED02EC"/>
    <w:rsid w:val="00ED08BB"/>
    <w:rsid w:val="00ED0B09"/>
    <w:rsid w:val="00ED14F8"/>
    <w:rsid w:val="00ED3949"/>
    <w:rsid w:val="00ED3BA0"/>
    <w:rsid w:val="00ED453E"/>
    <w:rsid w:val="00ED45C6"/>
    <w:rsid w:val="00ED47E7"/>
    <w:rsid w:val="00ED489F"/>
    <w:rsid w:val="00ED497D"/>
    <w:rsid w:val="00ED51BB"/>
    <w:rsid w:val="00ED6EAD"/>
    <w:rsid w:val="00ED6F3F"/>
    <w:rsid w:val="00EE02FA"/>
    <w:rsid w:val="00EE0557"/>
    <w:rsid w:val="00EE1A09"/>
    <w:rsid w:val="00EE1BB0"/>
    <w:rsid w:val="00EE2305"/>
    <w:rsid w:val="00EE2950"/>
    <w:rsid w:val="00EE2A37"/>
    <w:rsid w:val="00EE352A"/>
    <w:rsid w:val="00EE3808"/>
    <w:rsid w:val="00EE5431"/>
    <w:rsid w:val="00EE65F3"/>
    <w:rsid w:val="00EE7442"/>
    <w:rsid w:val="00EE79C4"/>
    <w:rsid w:val="00EE7B63"/>
    <w:rsid w:val="00EE7F4B"/>
    <w:rsid w:val="00EF00CE"/>
    <w:rsid w:val="00EF0AEF"/>
    <w:rsid w:val="00EF1751"/>
    <w:rsid w:val="00EF3091"/>
    <w:rsid w:val="00EF3C47"/>
    <w:rsid w:val="00EF4CF2"/>
    <w:rsid w:val="00EF5190"/>
    <w:rsid w:val="00EF5521"/>
    <w:rsid w:val="00EF55BA"/>
    <w:rsid w:val="00EF5D9E"/>
    <w:rsid w:val="00EF6464"/>
    <w:rsid w:val="00EF6B12"/>
    <w:rsid w:val="00EF6EE0"/>
    <w:rsid w:val="00EF79F8"/>
    <w:rsid w:val="00EF7E57"/>
    <w:rsid w:val="00F008D5"/>
    <w:rsid w:val="00F00D7B"/>
    <w:rsid w:val="00F00E11"/>
    <w:rsid w:val="00F01A07"/>
    <w:rsid w:val="00F0291A"/>
    <w:rsid w:val="00F02973"/>
    <w:rsid w:val="00F02C6D"/>
    <w:rsid w:val="00F02D53"/>
    <w:rsid w:val="00F02E26"/>
    <w:rsid w:val="00F032BD"/>
    <w:rsid w:val="00F04CA1"/>
    <w:rsid w:val="00F05086"/>
    <w:rsid w:val="00F05796"/>
    <w:rsid w:val="00F05B4E"/>
    <w:rsid w:val="00F05FF9"/>
    <w:rsid w:val="00F06D16"/>
    <w:rsid w:val="00F075B4"/>
    <w:rsid w:val="00F07C78"/>
    <w:rsid w:val="00F110CC"/>
    <w:rsid w:val="00F11904"/>
    <w:rsid w:val="00F12E6A"/>
    <w:rsid w:val="00F13098"/>
    <w:rsid w:val="00F134A8"/>
    <w:rsid w:val="00F136FD"/>
    <w:rsid w:val="00F13A3A"/>
    <w:rsid w:val="00F13B93"/>
    <w:rsid w:val="00F14AB5"/>
    <w:rsid w:val="00F15870"/>
    <w:rsid w:val="00F16262"/>
    <w:rsid w:val="00F170A3"/>
    <w:rsid w:val="00F174C8"/>
    <w:rsid w:val="00F1791D"/>
    <w:rsid w:val="00F17E23"/>
    <w:rsid w:val="00F17F47"/>
    <w:rsid w:val="00F201BA"/>
    <w:rsid w:val="00F2065C"/>
    <w:rsid w:val="00F20E27"/>
    <w:rsid w:val="00F20EA1"/>
    <w:rsid w:val="00F21299"/>
    <w:rsid w:val="00F217FF"/>
    <w:rsid w:val="00F21CBC"/>
    <w:rsid w:val="00F228F2"/>
    <w:rsid w:val="00F237B9"/>
    <w:rsid w:val="00F244A5"/>
    <w:rsid w:val="00F245C3"/>
    <w:rsid w:val="00F24DE1"/>
    <w:rsid w:val="00F25C35"/>
    <w:rsid w:val="00F25D3E"/>
    <w:rsid w:val="00F2737A"/>
    <w:rsid w:val="00F27BF5"/>
    <w:rsid w:val="00F30C76"/>
    <w:rsid w:val="00F30CDD"/>
    <w:rsid w:val="00F31849"/>
    <w:rsid w:val="00F318BA"/>
    <w:rsid w:val="00F32EA4"/>
    <w:rsid w:val="00F34043"/>
    <w:rsid w:val="00F34D6D"/>
    <w:rsid w:val="00F351F3"/>
    <w:rsid w:val="00F3524D"/>
    <w:rsid w:val="00F35C0C"/>
    <w:rsid w:val="00F366A4"/>
    <w:rsid w:val="00F36E38"/>
    <w:rsid w:val="00F37709"/>
    <w:rsid w:val="00F37787"/>
    <w:rsid w:val="00F377A7"/>
    <w:rsid w:val="00F37A2C"/>
    <w:rsid w:val="00F37D3A"/>
    <w:rsid w:val="00F40F52"/>
    <w:rsid w:val="00F4156A"/>
    <w:rsid w:val="00F41E5C"/>
    <w:rsid w:val="00F428FF"/>
    <w:rsid w:val="00F43002"/>
    <w:rsid w:val="00F449C7"/>
    <w:rsid w:val="00F449D2"/>
    <w:rsid w:val="00F44EFD"/>
    <w:rsid w:val="00F45066"/>
    <w:rsid w:val="00F45A22"/>
    <w:rsid w:val="00F462C9"/>
    <w:rsid w:val="00F46954"/>
    <w:rsid w:val="00F476EB"/>
    <w:rsid w:val="00F4770A"/>
    <w:rsid w:val="00F5071C"/>
    <w:rsid w:val="00F509BC"/>
    <w:rsid w:val="00F50B5D"/>
    <w:rsid w:val="00F50C48"/>
    <w:rsid w:val="00F52088"/>
    <w:rsid w:val="00F5252C"/>
    <w:rsid w:val="00F52701"/>
    <w:rsid w:val="00F52836"/>
    <w:rsid w:val="00F52EA3"/>
    <w:rsid w:val="00F53CD6"/>
    <w:rsid w:val="00F53E66"/>
    <w:rsid w:val="00F542F1"/>
    <w:rsid w:val="00F54976"/>
    <w:rsid w:val="00F54AD7"/>
    <w:rsid w:val="00F55175"/>
    <w:rsid w:val="00F55523"/>
    <w:rsid w:val="00F55524"/>
    <w:rsid w:val="00F55890"/>
    <w:rsid w:val="00F559C2"/>
    <w:rsid w:val="00F561FC"/>
    <w:rsid w:val="00F5668E"/>
    <w:rsid w:val="00F56B4E"/>
    <w:rsid w:val="00F575A3"/>
    <w:rsid w:val="00F577E6"/>
    <w:rsid w:val="00F5790D"/>
    <w:rsid w:val="00F57BA4"/>
    <w:rsid w:val="00F57F49"/>
    <w:rsid w:val="00F600BA"/>
    <w:rsid w:val="00F602D6"/>
    <w:rsid w:val="00F60BBB"/>
    <w:rsid w:val="00F60D56"/>
    <w:rsid w:val="00F61B65"/>
    <w:rsid w:val="00F62356"/>
    <w:rsid w:val="00F6267D"/>
    <w:rsid w:val="00F62833"/>
    <w:rsid w:val="00F62906"/>
    <w:rsid w:val="00F62BC9"/>
    <w:rsid w:val="00F62D26"/>
    <w:rsid w:val="00F62DAC"/>
    <w:rsid w:val="00F6309C"/>
    <w:rsid w:val="00F634BA"/>
    <w:rsid w:val="00F643BB"/>
    <w:rsid w:val="00F65136"/>
    <w:rsid w:val="00F655B7"/>
    <w:rsid w:val="00F65999"/>
    <w:rsid w:val="00F6601F"/>
    <w:rsid w:val="00F66F40"/>
    <w:rsid w:val="00F70316"/>
    <w:rsid w:val="00F70B3A"/>
    <w:rsid w:val="00F70F1F"/>
    <w:rsid w:val="00F71844"/>
    <w:rsid w:val="00F71F88"/>
    <w:rsid w:val="00F722B9"/>
    <w:rsid w:val="00F723D1"/>
    <w:rsid w:val="00F72552"/>
    <w:rsid w:val="00F72ADB"/>
    <w:rsid w:val="00F74197"/>
    <w:rsid w:val="00F7508E"/>
    <w:rsid w:val="00F7599B"/>
    <w:rsid w:val="00F7684E"/>
    <w:rsid w:val="00F773DB"/>
    <w:rsid w:val="00F776E2"/>
    <w:rsid w:val="00F77BF6"/>
    <w:rsid w:val="00F77E47"/>
    <w:rsid w:val="00F80B82"/>
    <w:rsid w:val="00F81163"/>
    <w:rsid w:val="00F82E6E"/>
    <w:rsid w:val="00F83287"/>
    <w:rsid w:val="00F832EE"/>
    <w:rsid w:val="00F836C6"/>
    <w:rsid w:val="00F841AD"/>
    <w:rsid w:val="00F8450B"/>
    <w:rsid w:val="00F85398"/>
    <w:rsid w:val="00F855DB"/>
    <w:rsid w:val="00F85C7E"/>
    <w:rsid w:val="00F86553"/>
    <w:rsid w:val="00F87B3B"/>
    <w:rsid w:val="00F87E4E"/>
    <w:rsid w:val="00F87FBD"/>
    <w:rsid w:val="00F90837"/>
    <w:rsid w:val="00F90993"/>
    <w:rsid w:val="00F93903"/>
    <w:rsid w:val="00F93957"/>
    <w:rsid w:val="00F94118"/>
    <w:rsid w:val="00F94401"/>
    <w:rsid w:val="00F94F1C"/>
    <w:rsid w:val="00F94F97"/>
    <w:rsid w:val="00F958FE"/>
    <w:rsid w:val="00F96BFB"/>
    <w:rsid w:val="00F97D87"/>
    <w:rsid w:val="00FA00ED"/>
    <w:rsid w:val="00FA0A0C"/>
    <w:rsid w:val="00FA0FB9"/>
    <w:rsid w:val="00FA1903"/>
    <w:rsid w:val="00FA2BAF"/>
    <w:rsid w:val="00FA2F22"/>
    <w:rsid w:val="00FA5AD2"/>
    <w:rsid w:val="00FA5C9B"/>
    <w:rsid w:val="00FA66D3"/>
    <w:rsid w:val="00FA6B2E"/>
    <w:rsid w:val="00FA6FF3"/>
    <w:rsid w:val="00FA727E"/>
    <w:rsid w:val="00FA787D"/>
    <w:rsid w:val="00FB00BB"/>
    <w:rsid w:val="00FB0977"/>
    <w:rsid w:val="00FB0CFF"/>
    <w:rsid w:val="00FB0E2B"/>
    <w:rsid w:val="00FB135B"/>
    <w:rsid w:val="00FB22EF"/>
    <w:rsid w:val="00FB2357"/>
    <w:rsid w:val="00FB342A"/>
    <w:rsid w:val="00FB43AE"/>
    <w:rsid w:val="00FB5066"/>
    <w:rsid w:val="00FB59BF"/>
    <w:rsid w:val="00FB60D6"/>
    <w:rsid w:val="00FB6700"/>
    <w:rsid w:val="00FB69A0"/>
    <w:rsid w:val="00FB6D51"/>
    <w:rsid w:val="00FC0661"/>
    <w:rsid w:val="00FC0856"/>
    <w:rsid w:val="00FC144E"/>
    <w:rsid w:val="00FC2132"/>
    <w:rsid w:val="00FC257D"/>
    <w:rsid w:val="00FC26A2"/>
    <w:rsid w:val="00FC2B44"/>
    <w:rsid w:val="00FC3725"/>
    <w:rsid w:val="00FC3BB8"/>
    <w:rsid w:val="00FC41A1"/>
    <w:rsid w:val="00FC4C11"/>
    <w:rsid w:val="00FC4CC8"/>
    <w:rsid w:val="00FC507D"/>
    <w:rsid w:val="00FC535F"/>
    <w:rsid w:val="00FC645A"/>
    <w:rsid w:val="00FC67CC"/>
    <w:rsid w:val="00FC71C7"/>
    <w:rsid w:val="00FC73AF"/>
    <w:rsid w:val="00FC7C9D"/>
    <w:rsid w:val="00FD0369"/>
    <w:rsid w:val="00FD06F1"/>
    <w:rsid w:val="00FD0B0C"/>
    <w:rsid w:val="00FD295D"/>
    <w:rsid w:val="00FD3036"/>
    <w:rsid w:val="00FD44D8"/>
    <w:rsid w:val="00FD4967"/>
    <w:rsid w:val="00FD4EBE"/>
    <w:rsid w:val="00FD555F"/>
    <w:rsid w:val="00FD5648"/>
    <w:rsid w:val="00FD64BA"/>
    <w:rsid w:val="00FD699A"/>
    <w:rsid w:val="00FD6CEA"/>
    <w:rsid w:val="00FD6E51"/>
    <w:rsid w:val="00FD73F3"/>
    <w:rsid w:val="00FD7AA4"/>
    <w:rsid w:val="00FE00D2"/>
    <w:rsid w:val="00FE03BE"/>
    <w:rsid w:val="00FE1FF8"/>
    <w:rsid w:val="00FE202F"/>
    <w:rsid w:val="00FE35D5"/>
    <w:rsid w:val="00FE44CA"/>
    <w:rsid w:val="00FE49A7"/>
    <w:rsid w:val="00FE4CC0"/>
    <w:rsid w:val="00FE62C3"/>
    <w:rsid w:val="00FE639A"/>
    <w:rsid w:val="00FE6D99"/>
    <w:rsid w:val="00FE6E2B"/>
    <w:rsid w:val="00FE7C39"/>
    <w:rsid w:val="00FF008D"/>
    <w:rsid w:val="00FF02DC"/>
    <w:rsid w:val="00FF0330"/>
    <w:rsid w:val="00FF11F0"/>
    <w:rsid w:val="00FF185C"/>
    <w:rsid w:val="00FF1DC1"/>
    <w:rsid w:val="00FF22AF"/>
    <w:rsid w:val="00FF278C"/>
    <w:rsid w:val="00FF27B5"/>
    <w:rsid w:val="00FF2CBF"/>
    <w:rsid w:val="00FF2EEB"/>
    <w:rsid w:val="00FF452A"/>
    <w:rsid w:val="00FF49CA"/>
    <w:rsid w:val="00FF4EB6"/>
    <w:rsid w:val="00FF5552"/>
    <w:rsid w:val="00FF5BF1"/>
    <w:rsid w:val="00FF7902"/>
    <w:rsid w:val="00FF7DE5"/>
    <w:rsid w:val="00FF7F05"/>
    <w:rsid w:val="012C2FF8"/>
    <w:rsid w:val="01431638"/>
    <w:rsid w:val="01552321"/>
    <w:rsid w:val="01636D9B"/>
    <w:rsid w:val="01883901"/>
    <w:rsid w:val="01B05A8F"/>
    <w:rsid w:val="01D53811"/>
    <w:rsid w:val="021A498A"/>
    <w:rsid w:val="022573A2"/>
    <w:rsid w:val="028D7189"/>
    <w:rsid w:val="02A56B3D"/>
    <w:rsid w:val="02F8486D"/>
    <w:rsid w:val="03151C1F"/>
    <w:rsid w:val="03B12030"/>
    <w:rsid w:val="03DC28E1"/>
    <w:rsid w:val="040179BD"/>
    <w:rsid w:val="046A470B"/>
    <w:rsid w:val="04A24FA8"/>
    <w:rsid w:val="04A3117E"/>
    <w:rsid w:val="04AF3F3E"/>
    <w:rsid w:val="04CC529D"/>
    <w:rsid w:val="04CE1F73"/>
    <w:rsid w:val="050339C8"/>
    <w:rsid w:val="050F6403"/>
    <w:rsid w:val="05896033"/>
    <w:rsid w:val="05A25D50"/>
    <w:rsid w:val="05E732EC"/>
    <w:rsid w:val="05F73A7F"/>
    <w:rsid w:val="064A5E80"/>
    <w:rsid w:val="06502A37"/>
    <w:rsid w:val="0681727E"/>
    <w:rsid w:val="06E25862"/>
    <w:rsid w:val="0708176C"/>
    <w:rsid w:val="07287718"/>
    <w:rsid w:val="07BD5DBF"/>
    <w:rsid w:val="07ED5FC6"/>
    <w:rsid w:val="07F7533D"/>
    <w:rsid w:val="08124A9D"/>
    <w:rsid w:val="083B795C"/>
    <w:rsid w:val="08561980"/>
    <w:rsid w:val="086737DD"/>
    <w:rsid w:val="087D5361"/>
    <w:rsid w:val="08B57574"/>
    <w:rsid w:val="08E510A5"/>
    <w:rsid w:val="08ED43EC"/>
    <w:rsid w:val="095E36A3"/>
    <w:rsid w:val="098D27B7"/>
    <w:rsid w:val="09B07FB3"/>
    <w:rsid w:val="09F332E4"/>
    <w:rsid w:val="0A0738EF"/>
    <w:rsid w:val="0A7D4828"/>
    <w:rsid w:val="0B275F39"/>
    <w:rsid w:val="0B2D7384"/>
    <w:rsid w:val="0B422D73"/>
    <w:rsid w:val="0B9E53D4"/>
    <w:rsid w:val="0BCC7375"/>
    <w:rsid w:val="0BDD4606"/>
    <w:rsid w:val="0C0533FF"/>
    <w:rsid w:val="0C324B95"/>
    <w:rsid w:val="0C4072B2"/>
    <w:rsid w:val="0C5D17B0"/>
    <w:rsid w:val="0C691C6B"/>
    <w:rsid w:val="0C7A1F06"/>
    <w:rsid w:val="0C8A7D71"/>
    <w:rsid w:val="0CDC67F7"/>
    <w:rsid w:val="0CFA155A"/>
    <w:rsid w:val="0D096E92"/>
    <w:rsid w:val="0E263246"/>
    <w:rsid w:val="0E326D66"/>
    <w:rsid w:val="0E516288"/>
    <w:rsid w:val="0EA07C0B"/>
    <w:rsid w:val="0EAB05BA"/>
    <w:rsid w:val="0EEF1DD5"/>
    <w:rsid w:val="0F7E2820"/>
    <w:rsid w:val="0FDF3BF3"/>
    <w:rsid w:val="0FF137B6"/>
    <w:rsid w:val="102D5420"/>
    <w:rsid w:val="102E6E42"/>
    <w:rsid w:val="10476A4E"/>
    <w:rsid w:val="10656A90"/>
    <w:rsid w:val="10B50F76"/>
    <w:rsid w:val="10DD46B8"/>
    <w:rsid w:val="11213EA8"/>
    <w:rsid w:val="117748B7"/>
    <w:rsid w:val="11A63AC3"/>
    <w:rsid w:val="11CA68BF"/>
    <w:rsid w:val="11D61CAA"/>
    <w:rsid w:val="11DA4164"/>
    <w:rsid w:val="11EE1F77"/>
    <w:rsid w:val="12072EA1"/>
    <w:rsid w:val="122329CC"/>
    <w:rsid w:val="12382EB4"/>
    <w:rsid w:val="13185DC7"/>
    <w:rsid w:val="133A1F99"/>
    <w:rsid w:val="134F0723"/>
    <w:rsid w:val="13D30909"/>
    <w:rsid w:val="13D824C6"/>
    <w:rsid w:val="13E93037"/>
    <w:rsid w:val="13FF7A53"/>
    <w:rsid w:val="145A112D"/>
    <w:rsid w:val="146F4594"/>
    <w:rsid w:val="14BD1998"/>
    <w:rsid w:val="14FB4178"/>
    <w:rsid w:val="15081290"/>
    <w:rsid w:val="15173AA9"/>
    <w:rsid w:val="15C02C3D"/>
    <w:rsid w:val="15C7202D"/>
    <w:rsid w:val="162C6439"/>
    <w:rsid w:val="164024AE"/>
    <w:rsid w:val="16462871"/>
    <w:rsid w:val="16E86929"/>
    <w:rsid w:val="17252504"/>
    <w:rsid w:val="17627C1D"/>
    <w:rsid w:val="17E32729"/>
    <w:rsid w:val="17EE79CE"/>
    <w:rsid w:val="18353CF4"/>
    <w:rsid w:val="18397940"/>
    <w:rsid w:val="18745036"/>
    <w:rsid w:val="18DB577D"/>
    <w:rsid w:val="18EF0B9C"/>
    <w:rsid w:val="18F63A84"/>
    <w:rsid w:val="18FB5A3C"/>
    <w:rsid w:val="19554E26"/>
    <w:rsid w:val="1967503C"/>
    <w:rsid w:val="19B32A1A"/>
    <w:rsid w:val="19D807F3"/>
    <w:rsid w:val="19DE39F3"/>
    <w:rsid w:val="19FB2147"/>
    <w:rsid w:val="1A273C93"/>
    <w:rsid w:val="1A8C739D"/>
    <w:rsid w:val="1B7B1CD0"/>
    <w:rsid w:val="1B8F0477"/>
    <w:rsid w:val="1B91129B"/>
    <w:rsid w:val="1C0E215C"/>
    <w:rsid w:val="1C9350ED"/>
    <w:rsid w:val="1D1B39DB"/>
    <w:rsid w:val="1D31745E"/>
    <w:rsid w:val="1D5752B2"/>
    <w:rsid w:val="1D7644E2"/>
    <w:rsid w:val="1D8215F5"/>
    <w:rsid w:val="1DBE5F5B"/>
    <w:rsid w:val="1DF73657"/>
    <w:rsid w:val="1E0C3ADC"/>
    <w:rsid w:val="1E0D5153"/>
    <w:rsid w:val="1E147B60"/>
    <w:rsid w:val="1E1C1441"/>
    <w:rsid w:val="1E20277C"/>
    <w:rsid w:val="1E2A11A5"/>
    <w:rsid w:val="1E5033D7"/>
    <w:rsid w:val="1E6A2FD8"/>
    <w:rsid w:val="1EED27A5"/>
    <w:rsid w:val="1F182518"/>
    <w:rsid w:val="1F3025BA"/>
    <w:rsid w:val="1F4F53ED"/>
    <w:rsid w:val="1FC508AF"/>
    <w:rsid w:val="1FCB27B8"/>
    <w:rsid w:val="20022912"/>
    <w:rsid w:val="203B7A34"/>
    <w:rsid w:val="204123F7"/>
    <w:rsid w:val="208204C4"/>
    <w:rsid w:val="2087096D"/>
    <w:rsid w:val="20F63839"/>
    <w:rsid w:val="210E62C7"/>
    <w:rsid w:val="212A1435"/>
    <w:rsid w:val="212C517F"/>
    <w:rsid w:val="216C1EE4"/>
    <w:rsid w:val="216D7966"/>
    <w:rsid w:val="21885F91"/>
    <w:rsid w:val="219A172E"/>
    <w:rsid w:val="219A525F"/>
    <w:rsid w:val="21AE3D5C"/>
    <w:rsid w:val="22060A6F"/>
    <w:rsid w:val="224C0643"/>
    <w:rsid w:val="22613D21"/>
    <w:rsid w:val="226E16EC"/>
    <w:rsid w:val="228E7A3D"/>
    <w:rsid w:val="22BD7457"/>
    <w:rsid w:val="239A6C76"/>
    <w:rsid w:val="239B23F8"/>
    <w:rsid w:val="23DD1433"/>
    <w:rsid w:val="243B392E"/>
    <w:rsid w:val="24502F21"/>
    <w:rsid w:val="24CC02EC"/>
    <w:rsid w:val="250C1FD0"/>
    <w:rsid w:val="2531710F"/>
    <w:rsid w:val="255E1E38"/>
    <w:rsid w:val="25764F02"/>
    <w:rsid w:val="25B35039"/>
    <w:rsid w:val="25CA498C"/>
    <w:rsid w:val="25CF7557"/>
    <w:rsid w:val="262B42B9"/>
    <w:rsid w:val="26686F62"/>
    <w:rsid w:val="26DC7FD7"/>
    <w:rsid w:val="27305558"/>
    <w:rsid w:val="27603B29"/>
    <w:rsid w:val="27AF24F0"/>
    <w:rsid w:val="27C7433A"/>
    <w:rsid w:val="27DC5671"/>
    <w:rsid w:val="27E4296B"/>
    <w:rsid w:val="27EE76FA"/>
    <w:rsid w:val="28181BD2"/>
    <w:rsid w:val="28244B6B"/>
    <w:rsid w:val="28786E47"/>
    <w:rsid w:val="28896A8E"/>
    <w:rsid w:val="288F53F1"/>
    <w:rsid w:val="28EC237D"/>
    <w:rsid w:val="292C2524"/>
    <w:rsid w:val="2937372F"/>
    <w:rsid w:val="294D7DE5"/>
    <w:rsid w:val="2967401F"/>
    <w:rsid w:val="29950F91"/>
    <w:rsid w:val="29F43AE2"/>
    <w:rsid w:val="29FC3CE3"/>
    <w:rsid w:val="2A020879"/>
    <w:rsid w:val="2A14048F"/>
    <w:rsid w:val="2A954815"/>
    <w:rsid w:val="2AF23A05"/>
    <w:rsid w:val="2B012ACC"/>
    <w:rsid w:val="2B655987"/>
    <w:rsid w:val="2B927DF6"/>
    <w:rsid w:val="2BBD0B4F"/>
    <w:rsid w:val="2C291829"/>
    <w:rsid w:val="2C2C2488"/>
    <w:rsid w:val="2CB510E7"/>
    <w:rsid w:val="2D0668E8"/>
    <w:rsid w:val="2D1B5BD1"/>
    <w:rsid w:val="2D24719C"/>
    <w:rsid w:val="2DF6341E"/>
    <w:rsid w:val="2E07737B"/>
    <w:rsid w:val="2E2C1754"/>
    <w:rsid w:val="2E954DE4"/>
    <w:rsid w:val="2E9A2201"/>
    <w:rsid w:val="2EAA1125"/>
    <w:rsid w:val="2EB2796B"/>
    <w:rsid w:val="2F0A5D38"/>
    <w:rsid w:val="2FFE2A2D"/>
    <w:rsid w:val="30723322"/>
    <w:rsid w:val="3073310C"/>
    <w:rsid w:val="308A17F7"/>
    <w:rsid w:val="30A76A5E"/>
    <w:rsid w:val="30A96ACF"/>
    <w:rsid w:val="30C93B1B"/>
    <w:rsid w:val="310A281D"/>
    <w:rsid w:val="31366EB5"/>
    <w:rsid w:val="31653193"/>
    <w:rsid w:val="316D5522"/>
    <w:rsid w:val="31DA5B56"/>
    <w:rsid w:val="320610B6"/>
    <w:rsid w:val="3217575E"/>
    <w:rsid w:val="32705150"/>
    <w:rsid w:val="32973638"/>
    <w:rsid w:val="32A142B3"/>
    <w:rsid w:val="32E21235"/>
    <w:rsid w:val="33114959"/>
    <w:rsid w:val="3317335F"/>
    <w:rsid w:val="331F1599"/>
    <w:rsid w:val="33681950"/>
    <w:rsid w:val="337323F4"/>
    <w:rsid w:val="33BC4DCC"/>
    <w:rsid w:val="33C87900"/>
    <w:rsid w:val="34045566"/>
    <w:rsid w:val="34111130"/>
    <w:rsid w:val="34477763"/>
    <w:rsid w:val="346B298C"/>
    <w:rsid w:val="348957C0"/>
    <w:rsid w:val="348B6582"/>
    <w:rsid w:val="34B51B07"/>
    <w:rsid w:val="34BA37F6"/>
    <w:rsid w:val="34DB3F45"/>
    <w:rsid w:val="3507608E"/>
    <w:rsid w:val="352402CB"/>
    <w:rsid w:val="355F1FA0"/>
    <w:rsid w:val="35DE448F"/>
    <w:rsid w:val="36160449"/>
    <w:rsid w:val="364A2958"/>
    <w:rsid w:val="36C72439"/>
    <w:rsid w:val="36DE5C01"/>
    <w:rsid w:val="3710731E"/>
    <w:rsid w:val="37250355"/>
    <w:rsid w:val="372E03B7"/>
    <w:rsid w:val="377564F1"/>
    <w:rsid w:val="377A101B"/>
    <w:rsid w:val="37973EAF"/>
    <w:rsid w:val="37C42B8C"/>
    <w:rsid w:val="37C45896"/>
    <w:rsid w:val="37D01583"/>
    <w:rsid w:val="38041F90"/>
    <w:rsid w:val="386B671F"/>
    <w:rsid w:val="387D1EBD"/>
    <w:rsid w:val="387F5B5D"/>
    <w:rsid w:val="388C11F3"/>
    <w:rsid w:val="38B1554C"/>
    <w:rsid w:val="38B60778"/>
    <w:rsid w:val="39026893"/>
    <w:rsid w:val="39385810"/>
    <w:rsid w:val="395A27A5"/>
    <w:rsid w:val="39C5085A"/>
    <w:rsid w:val="3A5A15AC"/>
    <w:rsid w:val="3A6D705B"/>
    <w:rsid w:val="3A707B38"/>
    <w:rsid w:val="3B712FD3"/>
    <w:rsid w:val="3B963C49"/>
    <w:rsid w:val="3BB72F3C"/>
    <w:rsid w:val="3BFA3638"/>
    <w:rsid w:val="3BFD7BD1"/>
    <w:rsid w:val="3C0C3393"/>
    <w:rsid w:val="3C12543D"/>
    <w:rsid w:val="3C360954"/>
    <w:rsid w:val="3C551209"/>
    <w:rsid w:val="3CB44AA5"/>
    <w:rsid w:val="3CBE19FF"/>
    <w:rsid w:val="3CDE6594"/>
    <w:rsid w:val="3CF70A12"/>
    <w:rsid w:val="3D2959D6"/>
    <w:rsid w:val="3D2C4222"/>
    <w:rsid w:val="3D784FF5"/>
    <w:rsid w:val="3D9A0E8C"/>
    <w:rsid w:val="3DB868D1"/>
    <w:rsid w:val="3DC945ED"/>
    <w:rsid w:val="3DE713D4"/>
    <w:rsid w:val="3E116F60"/>
    <w:rsid w:val="3E216046"/>
    <w:rsid w:val="3E6B63BE"/>
    <w:rsid w:val="3E6D56F1"/>
    <w:rsid w:val="3E933CB6"/>
    <w:rsid w:val="3E9B4D4A"/>
    <w:rsid w:val="3EB600FF"/>
    <w:rsid w:val="3F7E634C"/>
    <w:rsid w:val="3FDF2EFC"/>
    <w:rsid w:val="3FE710E5"/>
    <w:rsid w:val="402D2145"/>
    <w:rsid w:val="40A47108"/>
    <w:rsid w:val="40AC39CF"/>
    <w:rsid w:val="40EC510F"/>
    <w:rsid w:val="412A2619"/>
    <w:rsid w:val="415A344C"/>
    <w:rsid w:val="41C47092"/>
    <w:rsid w:val="41D74E79"/>
    <w:rsid w:val="41EC67A8"/>
    <w:rsid w:val="4216788F"/>
    <w:rsid w:val="428C69B4"/>
    <w:rsid w:val="42EB23BE"/>
    <w:rsid w:val="438163CD"/>
    <w:rsid w:val="43BE2BC1"/>
    <w:rsid w:val="43DE4813"/>
    <w:rsid w:val="43E23ABE"/>
    <w:rsid w:val="448D5606"/>
    <w:rsid w:val="449A6D4F"/>
    <w:rsid w:val="45C83D08"/>
    <w:rsid w:val="45E96E98"/>
    <w:rsid w:val="45FD385E"/>
    <w:rsid w:val="4631143E"/>
    <w:rsid w:val="463606DC"/>
    <w:rsid w:val="463D6035"/>
    <w:rsid w:val="471C076D"/>
    <w:rsid w:val="47241DC7"/>
    <w:rsid w:val="472935A0"/>
    <w:rsid w:val="477F33DA"/>
    <w:rsid w:val="47BE0940"/>
    <w:rsid w:val="47EF13C6"/>
    <w:rsid w:val="47F87820"/>
    <w:rsid w:val="484B1E04"/>
    <w:rsid w:val="486120DC"/>
    <w:rsid w:val="48D50E76"/>
    <w:rsid w:val="49352F56"/>
    <w:rsid w:val="494B0BD0"/>
    <w:rsid w:val="495E25EB"/>
    <w:rsid w:val="49907911"/>
    <w:rsid w:val="49AE2EB8"/>
    <w:rsid w:val="49D438AE"/>
    <w:rsid w:val="4A001D4C"/>
    <w:rsid w:val="4A255ED9"/>
    <w:rsid w:val="4A4215A5"/>
    <w:rsid w:val="4A7933B4"/>
    <w:rsid w:val="4AEB0E78"/>
    <w:rsid w:val="4AFA6B6D"/>
    <w:rsid w:val="4B5317A1"/>
    <w:rsid w:val="4B7A7462"/>
    <w:rsid w:val="4B8C50D1"/>
    <w:rsid w:val="4BA97FB1"/>
    <w:rsid w:val="4BB01057"/>
    <w:rsid w:val="4BB26B7D"/>
    <w:rsid w:val="4BCF4702"/>
    <w:rsid w:val="4BF8654F"/>
    <w:rsid w:val="4C5659B5"/>
    <w:rsid w:val="4C7474BF"/>
    <w:rsid w:val="4C7D380D"/>
    <w:rsid w:val="4C8032EF"/>
    <w:rsid w:val="4C964BBA"/>
    <w:rsid w:val="4D203016"/>
    <w:rsid w:val="4D8C69D7"/>
    <w:rsid w:val="4DB50BA7"/>
    <w:rsid w:val="4DB80CD0"/>
    <w:rsid w:val="4DC11F22"/>
    <w:rsid w:val="4DC156FB"/>
    <w:rsid w:val="4E324856"/>
    <w:rsid w:val="4E4F6905"/>
    <w:rsid w:val="4E94223C"/>
    <w:rsid w:val="4EAC6020"/>
    <w:rsid w:val="4EAD6F0A"/>
    <w:rsid w:val="4EDF5575"/>
    <w:rsid w:val="4EE3458C"/>
    <w:rsid w:val="4F0E2841"/>
    <w:rsid w:val="4F5D32A4"/>
    <w:rsid w:val="4FFC24CA"/>
    <w:rsid w:val="501F49FD"/>
    <w:rsid w:val="504B5ACC"/>
    <w:rsid w:val="504F2DEB"/>
    <w:rsid w:val="506D6C17"/>
    <w:rsid w:val="508A1B09"/>
    <w:rsid w:val="50902916"/>
    <w:rsid w:val="50D02A52"/>
    <w:rsid w:val="50EE1A52"/>
    <w:rsid w:val="50F90394"/>
    <w:rsid w:val="51164004"/>
    <w:rsid w:val="517D4DA1"/>
    <w:rsid w:val="51C904BB"/>
    <w:rsid w:val="52510CC1"/>
    <w:rsid w:val="526A10C9"/>
    <w:rsid w:val="52731EF7"/>
    <w:rsid w:val="527728CF"/>
    <w:rsid w:val="52DD7795"/>
    <w:rsid w:val="52E508D7"/>
    <w:rsid w:val="52ED493F"/>
    <w:rsid w:val="52FB4963"/>
    <w:rsid w:val="53121146"/>
    <w:rsid w:val="53311A55"/>
    <w:rsid w:val="53A157FD"/>
    <w:rsid w:val="53B26541"/>
    <w:rsid w:val="53C97955"/>
    <w:rsid w:val="53D65595"/>
    <w:rsid w:val="541774AA"/>
    <w:rsid w:val="54442F98"/>
    <w:rsid w:val="54513CD6"/>
    <w:rsid w:val="54791FA3"/>
    <w:rsid w:val="54D320E1"/>
    <w:rsid w:val="55560DF8"/>
    <w:rsid w:val="557430F6"/>
    <w:rsid w:val="55A3400F"/>
    <w:rsid w:val="560C01BB"/>
    <w:rsid w:val="563C7A2D"/>
    <w:rsid w:val="56986659"/>
    <w:rsid w:val="56CB3A71"/>
    <w:rsid w:val="571E5DAA"/>
    <w:rsid w:val="57392B01"/>
    <w:rsid w:val="577E01EC"/>
    <w:rsid w:val="57881596"/>
    <w:rsid w:val="57B74973"/>
    <w:rsid w:val="57ED4E4E"/>
    <w:rsid w:val="58070826"/>
    <w:rsid w:val="581C7F93"/>
    <w:rsid w:val="585306F0"/>
    <w:rsid w:val="586311CD"/>
    <w:rsid w:val="5888724A"/>
    <w:rsid w:val="58C06CCF"/>
    <w:rsid w:val="58DC1402"/>
    <w:rsid w:val="590E07A8"/>
    <w:rsid w:val="5920243C"/>
    <w:rsid w:val="59AD702D"/>
    <w:rsid w:val="59EF1191"/>
    <w:rsid w:val="5A052174"/>
    <w:rsid w:val="5A585746"/>
    <w:rsid w:val="5A7954F4"/>
    <w:rsid w:val="5A7D6400"/>
    <w:rsid w:val="5B0608E3"/>
    <w:rsid w:val="5B1146F6"/>
    <w:rsid w:val="5B8A5421"/>
    <w:rsid w:val="5BD347B4"/>
    <w:rsid w:val="5BF60FD4"/>
    <w:rsid w:val="5C5A1297"/>
    <w:rsid w:val="5C653798"/>
    <w:rsid w:val="5C665027"/>
    <w:rsid w:val="5CDF354A"/>
    <w:rsid w:val="5CFF1E3E"/>
    <w:rsid w:val="5D292C6C"/>
    <w:rsid w:val="5D2C0BED"/>
    <w:rsid w:val="5E465A3C"/>
    <w:rsid w:val="5E9865B3"/>
    <w:rsid w:val="5EFE7517"/>
    <w:rsid w:val="5F037E6E"/>
    <w:rsid w:val="5F0458F0"/>
    <w:rsid w:val="5F14370C"/>
    <w:rsid w:val="5F3A5DCA"/>
    <w:rsid w:val="5F3B51B5"/>
    <w:rsid w:val="5F3E6C4E"/>
    <w:rsid w:val="5F694A0D"/>
    <w:rsid w:val="5F976163"/>
    <w:rsid w:val="5F9D23E8"/>
    <w:rsid w:val="5FDA6831"/>
    <w:rsid w:val="600873B7"/>
    <w:rsid w:val="60155A87"/>
    <w:rsid w:val="603E7BF6"/>
    <w:rsid w:val="60503394"/>
    <w:rsid w:val="609A5E5A"/>
    <w:rsid w:val="60BA631F"/>
    <w:rsid w:val="60D41CE4"/>
    <w:rsid w:val="60EB5790"/>
    <w:rsid w:val="60F76E4B"/>
    <w:rsid w:val="61011D4F"/>
    <w:rsid w:val="61306A6A"/>
    <w:rsid w:val="61756342"/>
    <w:rsid w:val="619F19B7"/>
    <w:rsid w:val="61B60B75"/>
    <w:rsid w:val="6267184B"/>
    <w:rsid w:val="62C53908"/>
    <w:rsid w:val="632A6CD2"/>
    <w:rsid w:val="63E10544"/>
    <w:rsid w:val="64107237"/>
    <w:rsid w:val="64137ACB"/>
    <w:rsid w:val="64522630"/>
    <w:rsid w:val="645C76B6"/>
    <w:rsid w:val="64870113"/>
    <w:rsid w:val="6497295D"/>
    <w:rsid w:val="64A70DF2"/>
    <w:rsid w:val="64BE6048"/>
    <w:rsid w:val="64C074CA"/>
    <w:rsid w:val="64C10A3E"/>
    <w:rsid w:val="64FD3107"/>
    <w:rsid w:val="65320F83"/>
    <w:rsid w:val="65987598"/>
    <w:rsid w:val="668A09CB"/>
    <w:rsid w:val="676550B0"/>
    <w:rsid w:val="67EE3B22"/>
    <w:rsid w:val="6829003A"/>
    <w:rsid w:val="68336A02"/>
    <w:rsid w:val="68596C41"/>
    <w:rsid w:val="68FA00BE"/>
    <w:rsid w:val="696A6B77"/>
    <w:rsid w:val="696E0130"/>
    <w:rsid w:val="699F452C"/>
    <w:rsid w:val="69C35C6A"/>
    <w:rsid w:val="69D81A4D"/>
    <w:rsid w:val="6A82754B"/>
    <w:rsid w:val="6A8A23D9"/>
    <w:rsid w:val="6AA827E6"/>
    <w:rsid w:val="6ADB5C4D"/>
    <w:rsid w:val="6B20545A"/>
    <w:rsid w:val="6B260059"/>
    <w:rsid w:val="6B347553"/>
    <w:rsid w:val="6B4B48FA"/>
    <w:rsid w:val="6B7071D4"/>
    <w:rsid w:val="6B8F7B87"/>
    <w:rsid w:val="6BE8148D"/>
    <w:rsid w:val="6C5A4BD3"/>
    <w:rsid w:val="6C6476E1"/>
    <w:rsid w:val="6C903550"/>
    <w:rsid w:val="6CFC695A"/>
    <w:rsid w:val="6D3F6958"/>
    <w:rsid w:val="6D4E2611"/>
    <w:rsid w:val="6D5A4776"/>
    <w:rsid w:val="6D9B716A"/>
    <w:rsid w:val="6DAB2FF5"/>
    <w:rsid w:val="6DDA3DCA"/>
    <w:rsid w:val="6DE92424"/>
    <w:rsid w:val="6E9A0985"/>
    <w:rsid w:val="6E9F6A4D"/>
    <w:rsid w:val="6EB84066"/>
    <w:rsid w:val="6EC04175"/>
    <w:rsid w:val="6F543096"/>
    <w:rsid w:val="6F9E36AB"/>
    <w:rsid w:val="6FC4136C"/>
    <w:rsid w:val="703D085C"/>
    <w:rsid w:val="705A50E3"/>
    <w:rsid w:val="705C0156"/>
    <w:rsid w:val="708C74B3"/>
    <w:rsid w:val="70A956C0"/>
    <w:rsid w:val="70DF127B"/>
    <w:rsid w:val="70FA3967"/>
    <w:rsid w:val="70FA4481"/>
    <w:rsid w:val="710D040A"/>
    <w:rsid w:val="71DF5009"/>
    <w:rsid w:val="724866E2"/>
    <w:rsid w:val="725B5B2D"/>
    <w:rsid w:val="72B954FB"/>
    <w:rsid w:val="72D17CEA"/>
    <w:rsid w:val="72DC3AFD"/>
    <w:rsid w:val="73054CC1"/>
    <w:rsid w:val="73441F01"/>
    <w:rsid w:val="73707BF4"/>
    <w:rsid w:val="738D1722"/>
    <w:rsid w:val="7390638D"/>
    <w:rsid w:val="73AB641F"/>
    <w:rsid w:val="73F11447"/>
    <w:rsid w:val="741F3F1C"/>
    <w:rsid w:val="74624D35"/>
    <w:rsid w:val="74FE73EB"/>
    <w:rsid w:val="753715CE"/>
    <w:rsid w:val="756C5C89"/>
    <w:rsid w:val="758C6C69"/>
    <w:rsid w:val="759D1102"/>
    <w:rsid w:val="75C10D1E"/>
    <w:rsid w:val="75CB68AF"/>
    <w:rsid w:val="75DA0F67"/>
    <w:rsid w:val="75E748B4"/>
    <w:rsid w:val="76283D5C"/>
    <w:rsid w:val="763E2DA1"/>
    <w:rsid w:val="764F2BE5"/>
    <w:rsid w:val="76FC709B"/>
    <w:rsid w:val="77080F08"/>
    <w:rsid w:val="77224BBE"/>
    <w:rsid w:val="77777A8E"/>
    <w:rsid w:val="780F08E7"/>
    <w:rsid w:val="781E0F61"/>
    <w:rsid w:val="78581878"/>
    <w:rsid w:val="78880216"/>
    <w:rsid w:val="78A67CE8"/>
    <w:rsid w:val="78B23F93"/>
    <w:rsid w:val="78CA10FB"/>
    <w:rsid w:val="79263885"/>
    <w:rsid w:val="79327D64"/>
    <w:rsid w:val="79905B80"/>
    <w:rsid w:val="799F2917"/>
    <w:rsid w:val="79FF23D6"/>
    <w:rsid w:val="7A0049E3"/>
    <w:rsid w:val="7A1B7CE2"/>
    <w:rsid w:val="7A5A5248"/>
    <w:rsid w:val="7A6F776C"/>
    <w:rsid w:val="7AB94408"/>
    <w:rsid w:val="7ABB5634"/>
    <w:rsid w:val="7AF741CD"/>
    <w:rsid w:val="7B6D3E0C"/>
    <w:rsid w:val="7B8C3424"/>
    <w:rsid w:val="7B974C50"/>
    <w:rsid w:val="7C3E4895"/>
    <w:rsid w:val="7C523BA7"/>
    <w:rsid w:val="7C8A77BB"/>
    <w:rsid w:val="7C9E2387"/>
    <w:rsid w:val="7CA02F04"/>
    <w:rsid w:val="7CBD4A32"/>
    <w:rsid w:val="7CFA56FC"/>
    <w:rsid w:val="7D0C08E2"/>
    <w:rsid w:val="7DA94E78"/>
    <w:rsid w:val="7DC12ACC"/>
    <w:rsid w:val="7DD438A1"/>
    <w:rsid w:val="7DEE2DDA"/>
    <w:rsid w:val="7E336242"/>
    <w:rsid w:val="7E3C3B4E"/>
    <w:rsid w:val="7E4153EE"/>
    <w:rsid w:val="7E5330B8"/>
    <w:rsid w:val="7E7F4735"/>
    <w:rsid w:val="7E922075"/>
    <w:rsid w:val="7EA65BD8"/>
    <w:rsid w:val="7EDE37B3"/>
    <w:rsid w:val="7EED7CAD"/>
    <w:rsid w:val="7EEF620E"/>
    <w:rsid w:val="7F457BEA"/>
    <w:rsid w:val="7F7D1EC0"/>
    <w:rsid w:val="7FF609FC"/>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50"/>
    <w:qFormat/>
    <w:uiPriority w:val="0"/>
    <w:pPr>
      <w:keepNext/>
      <w:keepLines/>
      <w:tabs>
        <w:tab w:val="left" w:pos="360"/>
      </w:tabs>
      <w:adjustRightInd w:val="0"/>
      <w:spacing w:before="120" w:line="360" w:lineRule="auto"/>
      <w:jc w:val="center"/>
      <w:textAlignment w:val="baseline"/>
      <w:outlineLvl w:val="0"/>
    </w:pPr>
    <w:rPr>
      <w:b/>
      <w:spacing w:val="20"/>
      <w:kern w:val="44"/>
      <w:sz w:val="32"/>
      <w:lang w:val="zh-CN"/>
    </w:rPr>
  </w:style>
  <w:style w:type="paragraph" w:styleId="6">
    <w:name w:val="heading 2"/>
    <w:basedOn w:val="1"/>
    <w:next w:val="1"/>
    <w:link w:val="52"/>
    <w:qFormat/>
    <w:uiPriority w:val="0"/>
    <w:pPr>
      <w:keepNext/>
      <w:tabs>
        <w:tab w:val="left" w:pos="1021"/>
      </w:tabs>
      <w:adjustRightInd w:val="0"/>
      <w:jc w:val="center"/>
      <w:textAlignment w:val="baseline"/>
      <w:outlineLvl w:val="1"/>
    </w:pPr>
    <w:rPr>
      <w:rFonts w:ascii="Arial" w:hAnsi="Arial"/>
      <w:b/>
      <w:color w:val="000000"/>
      <w:spacing w:val="40"/>
      <w:sz w:val="32"/>
      <w:lang w:val="zh-CN"/>
    </w:rPr>
  </w:style>
  <w:style w:type="paragraph" w:styleId="7">
    <w:name w:val="heading 3"/>
    <w:basedOn w:val="1"/>
    <w:next w:val="1"/>
    <w:link w:val="53"/>
    <w:qFormat/>
    <w:uiPriority w:val="0"/>
    <w:pPr>
      <w:keepNext/>
      <w:keepLines/>
      <w:spacing w:before="60" w:after="60" w:line="400" w:lineRule="exact"/>
      <w:outlineLvl w:val="2"/>
    </w:pPr>
    <w:rPr>
      <w:rFonts w:ascii="宋体"/>
      <w:b/>
      <w:sz w:val="24"/>
      <w:lang w:val="zh-CN"/>
    </w:rPr>
  </w:style>
  <w:style w:type="paragraph" w:styleId="8">
    <w:name w:val="heading 4"/>
    <w:basedOn w:val="1"/>
    <w:next w:val="1"/>
    <w:link w:val="54"/>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lang w:val="zh-CN"/>
    </w:rPr>
  </w:style>
  <w:style w:type="paragraph" w:styleId="9">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4"/>
      <w:lang w:val="zh-CN"/>
    </w:rPr>
  </w:style>
  <w:style w:type="paragraph" w:styleId="10">
    <w:name w:val="heading 6"/>
    <w:basedOn w:val="1"/>
    <w:next w:val="1"/>
    <w:link w:val="56"/>
    <w:qFormat/>
    <w:uiPriority w:val="0"/>
    <w:pPr>
      <w:keepNext/>
      <w:keepLines/>
      <w:spacing w:line="360" w:lineRule="auto"/>
      <w:outlineLvl w:val="5"/>
    </w:pPr>
    <w:rPr>
      <w:rFonts w:ascii="宋体" w:hAnsi="宋体"/>
      <w:b/>
      <w:bCs/>
      <w:sz w:val="28"/>
      <w:szCs w:val="24"/>
      <w:lang w:val="zh-CN"/>
    </w:rPr>
  </w:style>
  <w:style w:type="paragraph" w:styleId="11">
    <w:name w:val="heading 7"/>
    <w:basedOn w:val="1"/>
    <w:next w:val="1"/>
    <w:link w:val="57"/>
    <w:qFormat/>
    <w:uiPriority w:val="0"/>
    <w:pPr>
      <w:keepNext/>
      <w:keepLines/>
      <w:tabs>
        <w:tab w:val="left" w:pos="432"/>
      </w:tabs>
      <w:spacing w:before="240" w:after="64" w:line="320" w:lineRule="auto"/>
      <w:outlineLvl w:val="6"/>
    </w:pPr>
    <w:rPr>
      <w:rFonts w:ascii="Calibri" w:hAnsi="Calibri"/>
      <w:b/>
      <w:bCs/>
      <w:sz w:val="24"/>
      <w:szCs w:val="24"/>
      <w:lang w:val="zh-CN"/>
    </w:rPr>
  </w:style>
  <w:style w:type="paragraph" w:styleId="12">
    <w:name w:val="heading 8"/>
    <w:basedOn w:val="1"/>
    <w:next w:val="1"/>
    <w:link w:val="58"/>
    <w:qFormat/>
    <w:uiPriority w:val="0"/>
    <w:pPr>
      <w:keepNext/>
      <w:keepLines/>
      <w:tabs>
        <w:tab w:val="left" w:pos="432"/>
      </w:tabs>
      <w:spacing w:before="240" w:after="64" w:line="320" w:lineRule="auto"/>
      <w:outlineLvl w:val="7"/>
    </w:pPr>
    <w:rPr>
      <w:rFonts w:ascii="Cambria" w:hAnsi="Cambria"/>
      <w:sz w:val="24"/>
      <w:szCs w:val="24"/>
      <w:lang w:val="zh-CN"/>
    </w:rPr>
  </w:style>
  <w:style w:type="paragraph" w:styleId="13">
    <w:name w:val="heading 9"/>
    <w:basedOn w:val="1"/>
    <w:next w:val="1"/>
    <w:link w:val="59"/>
    <w:qFormat/>
    <w:uiPriority w:val="99"/>
    <w:pPr>
      <w:keepNext/>
      <w:keepLines/>
      <w:tabs>
        <w:tab w:val="left" w:pos="432"/>
      </w:tabs>
      <w:spacing w:before="240" w:after="64" w:line="320" w:lineRule="auto"/>
      <w:outlineLvl w:val="8"/>
    </w:pPr>
    <w:rPr>
      <w:rFonts w:ascii="Cambria" w:hAnsi="Cambria"/>
      <w:szCs w:val="21"/>
      <w:lang w:val="zh-CN"/>
    </w:rPr>
  </w:style>
  <w:style w:type="character" w:default="1" w:styleId="43">
    <w:name w:val="Default Paragraph Font"/>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link w:val="69"/>
    <w:qFormat/>
    <w:uiPriority w:val="0"/>
    <w:pPr>
      <w:widowControl/>
      <w:spacing w:after="120" w:line="360" w:lineRule="auto"/>
      <w:ind w:firstLine="420" w:firstLineChars="100"/>
      <w:jc w:val="left"/>
    </w:pPr>
    <w:rPr>
      <w:rFonts w:eastAsia="仿宋_GB2312"/>
      <w:sz w:val="28"/>
    </w:rPr>
  </w:style>
  <w:style w:type="paragraph" w:styleId="3">
    <w:name w:val="Body Text"/>
    <w:basedOn w:val="1"/>
    <w:next w:val="4"/>
    <w:link w:val="70"/>
    <w:qFormat/>
    <w:uiPriority w:val="0"/>
    <w:rPr>
      <w:rFonts w:ascii="宋体"/>
      <w:sz w:val="24"/>
      <w:lang w:val="zh-CN"/>
    </w:rPr>
  </w:style>
  <w:style w:type="paragraph" w:styleId="4">
    <w:name w:val="toc 5"/>
    <w:basedOn w:val="1"/>
    <w:next w:val="1"/>
    <w:qFormat/>
    <w:uiPriority w:val="39"/>
    <w:pPr>
      <w:ind w:left="840"/>
      <w:jc w:val="left"/>
    </w:pPr>
    <w:rPr>
      <w:rFonts w:ascii="Calibri" w:hAnsi="Calibri"/>
      <w:sz w:val="18"/>
      <w:szCs w:val="18"/>
    </w:rPr>
  </w:style>
  <w:style w:type="paragraph" w:styleId="14">
    <w:name w:val="toc 7"/>
    <w:basedOn w:val="1"/>
    <w:next w:val="1"/>
    <w:qFormat/>
    <w:uiPriority w:val="39"/>
    <w:pPr>
      <w:ind w:left="1260"/>
      <w:jc w:val="left"/>
    </w:pPr>
    <w:rPr>
      <w:rFonts w:ascii="Calibri" w:hAnsi="Calibri"/>
      <w:sz w:val="18"/>
      <w:szCs w:val="18"/>
    </w:rPr>
  </w:style>
  <w:style w:type="paragraph" w:styleId="15">
    <w:name w:val="Normal Indent"/>
    <w:basedOn w:val="1"/>
    <w:link w:val="51"/>
    <w:qFormat/>
    <w:uiPriority w:val="0"/>
    <w:pPr>
      <w:ind w:firstLine="420"/>
    </w:pPr>
    <w:rPr>
      <w:lang w:val="zh-CN"/>
    </w:rPr>
  </w:style>
  <w:style w:type="paragraph" w:styleId="16">
    <w:name w:val="caption"/>
    <w:basedOn w:val="1"/>
    <w:next w:val="1"/>
    <w:link w:val="104"/>
    <w:qFormat/>
    <w:uiPriority w:val="35"/>
    <w:pPr>
      <w:widowControl/>
      <w:spacing w:before="152" w:after="160"/>
      <w:jc w:val="left"/>
    </w:pPr>
    <w:rPr>
      <w:rFonts w:ascii="Arial" w:hAnsi="Arial" w:eastAsia="黑体"/>
      <w:kern w:val="0"/>
      <w:sz w:val="20"/>
      <w:szCs w:val="24"/>
      <w:lang w:val="zh-CN"/>
    </w:rPr>
  </w:style>
  <w:style w:type="paragraph" w:styleId="17">
    <w:name w:val="Document Map"/>
    <w:basedOn w:val="1"/>
    <w:qFormat/>
    <w:uiPriority w:val="0"/>
    <w:pPr>
      <w:shd w:val="clear" w:color="auto" w:fill="000080"/>
    </w:pPr>
  </w:style>
  <w:style w:type="paragraph" w:styleId="18">
    <w:name w:val="annotation text"/>
    <w:basedOn w:val="1"/>
    <w:link w:val="84"/>
    <w:qFormat/>
    <w:uiPriority w:val="99"/>
    <w:pPr>
      <w:jc w:val="left"/>
    </w:pPr>
    <w:rPr>
      <w:lang w:val="zh-CN"/>
    </w:rPr>
  </w:style>
  <w:style w:type="paragraph" w:styleId="19">
    <w:name w:val="Body Text 3"/>
    <w:basedOn w:val="1"/>
    <w:link w:val="86"/>
    <w:qFormat/>
    <w:uiPriority w:val="0"/>
    <w:pPr>
      <w:spacing w:after="120"/>
    </w:pPr>
    <w:rPr>
      <w:sz w:val="16"/>
      <w:szCs w:val="16"/>
      <w:lang w:val="zh-CN"/>
    </w:rPr>
  </w:style>
  <w:style w:type="paragraph" w:styleId="20">
    <w:name w:val="Body Text Indent"/>
    <w:basedOn w:val="1"/>
    <w:next w:val="21"/>
    <w:link w:val="61"/>
    <w:qFormat/>
    <w:uiPriority w:val="0"/>
    <w:pPr>
      <w:spacing w:line="460" w:lineRule="exact"/>
      <w:ind w:firstLine="510"/>
    </w:pPr>
    <w:rPr>
      <w:lang w:val="zh-CN"/>
    </w:rPr>
  </w:style>
  <w:style w:type="paragraph" w:styleId="21">
    <w:name w:val="Body Text First Indent 2"/>
    <w:basedOn w:val="20"/>
    <w:next w:val="1"/>
    <w:link w:val="60"/>
    <w:qFormat/>
    <w:uiPriority w:val="0"/>
    <w:pPr>
      <w:widowControl/>
      <w:spacing w:after="120" w:line="240" w:lineRule="auto"/>
      <w:ind w:left="420" w:leftChars="200" w:firstLine="420" w:firstLineChars="200"/>
      <w:jc w:val="left"/>
    </w:pPr>
    <w:rPr>
      <w:rFonts w:ascii="Calibri" w:hAnsi="Calibri"/>
      <w:szCs w:val="24"/>
    </w:rPr>
  </w:style>
  <w:style w:type="paragraph" w:styleId="22">
    <w:name w:val="toc 3"/>
    <w:basedOn w:val="1"/>
    <w:next w:val="1"/>
    <w:qFormat/>
    <w:uiPriority w:val="39"/>
    <w:pPr>
      <w:ind w:left="420"/>
      <w:jc w:val="left"/>
    </w:pPr>
    <w:rPr>
      <w:rFonts w:ascii="Calibri" w:hAnsi="Calibri"/>
      <w:i/>
      <w:iCs/>
      <w:sz w:val="20"/>
    </w:rPr>
  </w:style>
  <w:style w:type="paragraph" w:styleId="23">
    <w:name w:val="Plain Text"/>
    <w:basedOn w:val="1"/>
    <w:next w:val="1"/>
    <w:link w:val="115"/>
    <w:unhideWhenUsed/>
    <w:qFormat/>
    <w:uiPriority w:val="0"/>
    <w:rPr>
      <w:rFonts w:ascii="宋体"/>
    </w:rPr>
  </w:style>
  <w:style w:type="paragraph" w:styleId="24">
    <w:name w:val="toc 8"/>
    <w:basedOn w:val="1"/>
    <w:next w:val="1"/>
    <w:qFormat/>
    <w:uiPriority w:val="39"/>
    <w:pPr>
      <w:ind w:left="1470"/>
      <w:jc w:val="left"/>
    </w:pPr>
    <w:rPr>
      <w:rFonts w:ascii="Calibri" w:hAnsi="Calibri"/>
      <w:sz w:val="18"/>
      <w:szCs w:val="18"/>
    </w:rPr>
  </w:style>
  <w:style w:type="paragraph" w:styleId="25">
    <w:name w:val="Date"/>
    <w:basedOn w:val="1"/>
    <w:next w:val="1"/>
    <w:link w:val="97"/>
    <w:qFormat/>
    <w:uiPriority w:val="99"/>
    <w:rPr>
      <w:kern w:val="0"/>
      <w:sz w:val="28"/>
      <w:lang w:val="zh-CN"/>
    </w:rPr>
  </w:style>
  <w:style w:type="paragraph" w:styleId="26">
    <w:name w:val="Body Text Indent 2"/>
    <w:basedOn w:val="1"/>
    <w:link w:val="85"/>
    <w:qFormat/>
    <w:uiPriority w:val="0"/>
    <w:pPr>
      <w:spacing w:line="500" w:lineRule="exact"/>
      <w:ind w:firstLine="510"/>
    </w:pPr>
    <w:rPr>
      <w:rFonts w:ascii="宋体"/>
      <w:sz w:val="24"/>
      <w:lang w:val="zh-CN"/>
    </w:rPr>
  </w:style>
  <w:style w:type="paragraph" w:styleId="27">
    <w:name w:val="Balloon Text"/>
    <w:basedOn w:val="1"/>
    <w:link w:val="68"/>
    <w:qFormat/>
    <w:uiPriority w:val="99"/>
    <w:rPr>
      <w:sz w:val="18"/>
      <w:szCs w:val="18"/>
      <w:lang w:val="zh-CN"/>
    </w:rPr>
  </w:style>
  <w:style w:type="paragraph" w:styleId="28">
    <w:name w:val="footer"/>
    <w:basedOn w:val="1"/>
    <w:link w:val="100"/>
    <w:qFormat/>
    <w:uiPriority w:val="99"/>
    <w:pPr>
      <w:tabs>
        <w:tab w:val="center" w:pos="4153"/>
        <w:tab w:val="right" w:pos="8306"/>
      </w:tabs>
      <w:snapToGrid w:val="0"/>
      <w:jc w:val="left"/>
    </w:pPr>
    <w:rPr>
      <w:sz w:val="18"/>
      <w:lang w:val="zh-CN"/>
    </w:rPr>
  </w:style>
  <w:style w:type="paragraph" w:styleId="29">
    <w:name w:val="header"/>
    <w:basedOn w:val="1"/>
    <w:link w:val="96"/>
    <w:qFormat/>
    <w:uiPriority w:val="99"/>
    <w:pPr>
      <w:pBdr>
        <w:bottom w:val="single" w:color="auto" w:sz="6" w:space="1"/>
      </w:pBdr>
      <w:tabs>
        <w:tab w:val="center" w:pos="4153"/>
        <w:tab w:val="right" w:pos="8306"/>
      </w:tabs>
      <w:snapToGrid w:val="0"/>
      <w:jc w:val="center"/>
    </w:pPr>
    <w:rPr>
      <w:sz w:val="18"/>
      <w:lang w:val="zh-CN"/>
    </w:rPr>
  </w:style>
  <w:style w:type="paragraph" w:styleId="30">
    <w:name w:val="toc 1"/>
    <w:basedOn w:val="1"/>
    <w:next w:val="1"/>
    <w:qFormat/>
    <w:uiPriority w:val="39"/>
    <w:pPr>
      <w:spacing w:before="120" w:after="120"/>
      <w:jc w:val="left"/>
    </w:pPr>
    <w:rPr>
      <w:rFonts w:ascii="Calibri" w:hAnsi="Calibri"/>
      <w:b/>
      <w:bCs/>
      <w:caps/>
      <w:sz w:val="20"/>
    </w:rPr>
  </w:style>
  <w:style w:type="paragraph" w:styleId="31">
    <w:name w:val="toc 4"/>
    <w:basedOn w:val="1"/>
    <w:next w:val="1"/>
    <w:qFormat/>
    <w:uiPriority w:val="39"/>
    <w:pPr>
      <w:ind w:left="630"/>
      <w:jc w:val="left"/>
    </w:pPr>
    <w:rPr>
      <w:rFonts w:ascii="Calibri" w:hAnsi="Calibri"/>
      <w:sz w:val="18"/>
      <w:szCs w:val="18"/>
    </w:rPr>
  </w:style>
  <w:style w:type="paragraph" w:styleId="32">
    <w:name w:val="Subtitle"/>
    <w:basedOn w:val="1"/>
    <w:next w:val="1"/>
    <w:link w:val="94"/>
    <w:qFormat/>
    <w:uiPriority w:val="11"/>
    <w:pPr>
      <w:widowControl/>
      <w:spacing w:before="240" w:after="60" w:line="312" w:lineRule="auto"/>
      <w:jc w:val="center"/>
      <w:outlineLvl w:val="1"/>
    </w:pPr>
    <w:rPr>
      <w:rFonts w:ascii="Cambria" w:hAnsi="Cambria"/>
      <w:b/>
      <w:bCs/>
      <w:kern w:val="28"/>
      <w:sz w:val="32"/>
      <w:szCs w:val="32"/>
      <w:lang w:val="zh-CN"/>
    </w:rPr>
  </w:style>
  <w:style w:type="paragraph" w:styleId="33">
    <w:name w:val="toc 6"/>
    <w:basedOn w:val="1"/>
    <w:next w:val="1"/>
    <w:qFormat/>
    <w:uiPriority w:val="39"/>
    <w:pPr>
      <w:ind w:left="1050"/>
      <w:jc w:val="left"/>
    </w:pPr>
    <w:rPr>
      <w:rFonts w:ascii="Calibri" w:hAnsi="Calibri"/>
      <w:sz w:val="18"/>
      <w:szCs w:val="18"/>
    </w:rPr>
  </w:style>
  <w:style w:type="paragraph" w:styleId="34">
    <w:name w:val="Body Text Indent 3"/>
    <w:basedOn w:val="1"/>
    <w:link w:val="114"/>
    <w:qFormat/>
    <w:uiPriority w:val="99"/>
    <w:pPr>
      <w:spacing w:line="500" w:lineRule="exact"/>
      <w:ind w:firstLine="510"/>
    </w:pPr>
    <w:rPr>
      <w:rFonts w:ascii="宋体"/>
      <w:color w:val="000000"/>
      <w:sz w:val="26"/>
      <w:lang w:val="zh-CN"/>
    </w:rPr>
  </w:style>
  <w:style w:type="paragraph" w:styleId="35">
    <w:name w:val="table of figures"/>
    <w:basedOn w:val="1"/>
    <w:next w:val="1"/>
    <w:qFormat/>
    <w:uiPriority w:val="0"/>
    <w:pPr>
      <w:ind w:left="840" w:hanging="420"/>
    </w:pPr>
  </w:style>
  <w:style w:type="paragraph" w:styleId="36">
    <w:name w:val="toc 2"/>
    <w:basedOn w:val="1"/>
    <w:next w:val="1"/>
    <w:qFormat/>
    <w:uiPriority w:val="39"/>
    <w:pPr>
      <w:ind w:left="210"/>
      <w:jc w:val="left"/>
    </w:pPr>
    <w:rPr>
      <w:rFonts w:ascii="Calibri" w:hAnsi="Calibri"/>
      <w:smallCaps/>
      <w:sz w:val="20"/>
    </w:rPr>
  </w:style>
  <w:style w:type="paragraph" w:styleId="37">
    <w:name w:val="toc 9"/>
    <w:basedOn w:val="1"/>
    <w:next w:val="1"/>
    <w:qFormat/>
    <w:uiPriority w:val="39"/>
    <w:pPr>
      <w:ind w:left="1680"/>
      <w:jc w:val="left"/>
    </w:pPr>
    <w:rPr>
      <w:rFonts w:ascii="Calibri" w:hAnsi="Calibri"/>
      <w:sz w:val="18"/>
      <w:szCs w:val="18"/>
    </w:rPr>
  </w:style>
  <w:style w:type="paragraph" w:styleId="38">
    <w:name w:val="Normal (Web)"/>
    <w:basedOn w:val="1"/>
    <w:link w:val="258"/>
    <w:qFormat/>
    <w:uiPriority w:val="99"/>
    <w:pPr>
      <w:widowControl/>
      <w:spacing w:before="100" w:beforeAutospacing="1" w:after="100" w:afterAutospacing="1"/>
      <w:jc w:val="left"/>
    </w:pPr>
    <w:rPr>
      <w:rFonts w:ascii="宋体" w:hAnsi="宋体"/>
      <w:kern w:val="0"/>
      <w:sz w:val="24"/>
      <w:szCs w:val="24"/>
    </w:rPr>
  </w:style>
  <w:style w:type="paragraph" w:styleId="39">
    <w:name w:val="Title"/>
    <w:basedOn w:val="1"/>
    <w:link w:val="253"/>
    <w:qFormat/>
    <w:uiPriority w:val="0"/>
    <w:pPr>
      <w:adjustRightInd w:val="0"/>
      <w:spacing w:before="240" w:after="60" w:line="420" w:lineRule="atLeast"/>
      <w:jc w:val="center"/>
      <w:textAlignment w:val="baseline"/>
      <w:outlineLvl w:val="0"/>
    </w:pPr>
    <w:rPr>
      <w:rFonts w:ascii="Arial" w:hAnsi="Arial"/>
      <w:b/>
      <w:kern w:val="0"/>
      <w:sz w:val="32"/>
      <w:lang w:val="zh-CN"/>
    </w:rPr>
  </w:style>
  <w:style w:type="paragraph" w:styleId="40">
    <w:name w:val="annotation subject"/>
    <w:basedOn w:val="18"/>
    <w:next w:val="18"/>
    <w:link w:val="103"/>
    <w:qFormat/>
    <w:uiPriority w:val="99"/>
    <w:rPr>
      <w:b/>
      <w:bCs/>
    </w:r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basedOn w:val="43"/>
    <w:qFormat/>
    <w:uiPriority w:val="0"/>
  </w:style>
  <w:style w:type="character" w:styleId="46">
    <w:name w:val="FollowedHyperlink"/>
    <w:qFormat/>
    <w:uiPriority w:val="99"/>
    <w:rPr>
      <w:color w:val="800080"/>
      <w:u w:val="single"/>
    </w:rPr>
  </w:style>
  <w:style w:type="character" w:styleId="47">
    <w:name w:val="Hyperlink"/>
    <w:qFormat/>
    <w:uiPriority w:val="99"/>
    <w:rPr>
      <w:rFonts w:hint="eastAsia" w:ascii="宋体" w:hAnsi="宋体" w:eastAsia="宋体" w:cs="宋体"/>
      <w:color w:val="0033CC"/>
      <w:sz w:val="18"/>
      <w:szCs w:val="18"/>
      <w:u w:val="none"/>
    </w:rPr>
  </w:style>
  <w:style w:type="character" w:styleId="48">
    <w:name w:val="annotation reference"/>
    <w:qFormat/>
    <w:uiPriority w:val="99"/>
    <w:rPr>
      <w:sz w:val="21"/>
      <w:szCs w:val="21"/>
    </w:rPr>
  </w:style>
  <w:style w:type="paragraph" w:customStyle="1" w:styleId="49">
    <w:name w:val="无间隔1"/>
    <w:qFormat/>
    <w:uiPriority w:val="1"/>
    <w:pPr>
      <w:widowControl w:val="0"/>
      <w:jc w:val="both"/>
    </w:pPr>
    <w:rPr>
      <w:rFonts w:ascii="Calibri" w:hAnsi="Calibri" w:eastAsia="宋体" w:cs="黑体"/>
      <w:kern w:val="2"/>
      <w:sz w:val="21"/>
      <w:szCs w:val="22"/>
      <w:lang w:val="en-US" w:eastAsia="zh-CN" w:bidi="ar-SA"/>
    </w:rPr>
  </w:style>
  <w:style w:type="character" w:customStyle="1" w:styleId="50">
    <w:name w:val="标题 1 字符"/>
    <w:link w:val="5"/>
    <w:qFormat/>
    <w:uiPriority w:val="0"/>
    <w:rPr>
      <w:b/>
      <w:spacing w:val="20"/>
      <w:kern w:val="44"/>
      <w:sz w:val="32"/>
      <w:lang w:val="zh-CN"/>
    </w:rPr>
  </w:style>
  <w:style w:type="character" w:customStyle="1" w:styleId="51">
    <w:name w:val="正文缩进 字符"/>
    <w:link w:val="15"/>
    <w:qFormat/>
    <w:uiPriority w:val="0"/>
    <w:rPr>
      <w:kern w:val="2"/>
      <w:sz w:val="21"/>
    </w:rPr>
  </w:style>
  <w:style w:type="character" w:customStyle="1" w:styleId="52">
    <w:name w:val="标题 2 字符"/>
    <w:link w:val="6"/>
    <w:qFormat/>
    <w:uiPriority w:val="0"/>
    <w:rPr>
      <w:rFonts w:ascii="Arial" w:hAnsi="Arial"/>
      <w:b/>
      <w:color w:val="000000"/>
      <w:spacing w:val="40"/>
      <w:kern w:val="2"/>
      <w:sz w:val="32"/>
      <w:lang w:val="zh-CN"/>
    </w:rPr>
  </w:style>
  <w:style w:type="character" w:customStyle="1" w:styleId="53">
    <w:name w:val="标题 3 字符"/>
    <w:link w:val="7"/>
    <w:qFormat/>
    <w:uiPriority w:val="0"/>
    <w:rPr>
      <w:rFonts w:ascii="宋体"/>
      <w:b/>
      <w:kern w:val="2"/>
      <w:sz w:val="24"/>
    </w:rPr>
  </w:style>
  <w:style w:type="character" w:customStyle="1" w:styleId="54">
    <w:name w:val="标题 4 字符"/>
    <w:link w:val="8"/>
    <w:qFormat/>
    <w:uiPriority w:val="0"/>
    <w:rPr>
      <w:rFonts w:ascii="Arial" w:hAnsi="Arial" w:eastAsia="黑体"/>
      <w:sz w:val="28"/>
    </w:rPr>
  </w:style>
  <w:style w:type="character" w:customStyle="1" w:styleId="55">
    <w:name w:val="标题 5 字符"/>
    <w:link w:val="9"/>
    <w:qFormat/>
    <w:uiPriority w:val="0"/>
    <w:rPr>
      <w:b/>
      <w:sz w:val="28"/>
      <w:szCs w:val="24"/>
    </w:rPr>
  </w:style>
  <w:style w:type="character" w:customStyle="1" w:styleId="56">
    <w:name w:val="标题 6 字符"/>
    <w:link w:val="10"/>
    <w:qFormat/>
    <w:uiPriority w:val="0"/>
    <w:rPr>
      <w:rFonts w:ascii="宋体" w:hAnsi="宋体" w:eastAsia="宋体" w:cs="Times New Roman"/>
      <w:b/>
      <w:bCs/>
      <w:kern w:val="2"/>
      <w:sz w:val="28"/>
      <w:szCs w:val="24"/>
    </w:rPr>
  </w:style>
  <w:style w:type="character" w:customStyle="1" w:styleId="57">
    <w:name w:val="标题 7 字符"/>
    <w:link w:val="11"/>
    <w:qFormat/>
    <w:uiPriority w:val="0"/>
    <w:rPr>
      <w:rFonts w:ascii="Calibri" w:hAnsi="Calibri" w:cs="Times New Roman"/>
      <w:b/>
      <w:bCs/>
      <w:kern w:val="2"/>
      <w:sz w:val="24"/>
      <w:szCs w:val="24"/>
    </w:rPr>
  </w:style>
  <w:style w:type="character" w:customStyle="1" w:styleId="58">
    <w:name w:val="标题 8 字符"/>
    <w:link w:val="12"/>
    <w:qFormat/>
    <w:uiPriority w:val="0"/>
    <w:rPr>
      <w:rFonts w:ascii="Cambria" w:hAnsi="Cambria" w:eastAsia="宋体" w:cs="Times New Roman"/>
      <w:kern w:val="2"/>
      <w:sz w:val="24"/>
      <w:szCs w:val="24"/>
    </w:rPr>
  </w:style>
  <w:style w:type="character" w:customStyle="1" w:styleId="59">
    <w:name w:val="标题 9 字符"/>
    <w:link w:val="13"/>
    <w:qFormat/>
    <w:uiPriority w:val="99"/>
    <w:rPr>
      <w:rFonts w:ascii="Cambria" w:hAnsi="Cambria" w:eastAsia="宋体" w:cs="Times New Roman"/>
      <w:kern w:val="2"/>
      <w:sz w:val="21"/>
      <w:szCs w:val="21"/>
    </w:rPr>
  </w:style>
  <w:style w:type="character" w:customStyle="1" w:styleId="60">
    <w:name w:val="正文文本首行缩进 2 字符"/>
    <w:link w:val="21"/>
    <w:qFormat/>
    <w:uiPriority w:val="0"/>
    <w:rPr>
      <w:rFonts w:ascii="Calibri" w:hAnsi="Calibri"/>
      <w:kern w:val="2"/>
      <w:sz w:val="21"/>
      <w:szCs w:val="24"/>
    </w:rPr>
  </w:style>
  <w:style w:type="character" w:customStyle="1" w:styleId="61">
    <w:name w:val="正文文本缩进 字符"/>
    <w:link w:val="20"/>
    <w:qFormat/>
    <w:uiPriority w:val="0"/>
    <w:rPr>
      <w:kern w:val="2"/>
      <w:sz w:val="21"/>
    </w:rPr>
  </w:style>
  <w:style w:type="character" w:customStyle="1" w:styleId="62">
    <w:name w:val="point_normal"/>
    <w:qFormat/>
    <w:uiPriority w:val="0"/>
    <w:rPr>
      <w:rFonts w:ascii="Times New Roman" w:hAnsi="Times New Roman" w:eastAsia="宋体" w:cs="Times New Roman"/>
      <w:lang w:val="en-US" w:eastAsia="zh-CN" w:bidi="ar-SA"/>
    </w:rPr>
  </w:style>
  <w:style w:type="character" w:customStyle="1" w:styleId="63">
    <w:name w:val="样式 首行缩进:  2 字符5 Char Char"/>
    <w:link w:val="64"/>
    <w:qFormat/>
    <w:uiPriority w:val="0"/>
    <w:rPr>
      <w:rFonts w:cs="宋体"/>
      <w:kern w:val="2"/>
      <w:sz w:val="24"/>
    </w:rPr>
  </w:style>
  <w:style w:type="paragraph" w:customStyle="1" w:styleId="64">
    <w:name w:val="样式 首行缩进:  2 字符5"/>
    <w:basedOn w:val="1"/>
    <w:link w:val="63"/>
    <w:qFormat/>
    <w:uiPriority w:val="0"/>
    <w:pPr>
      <w:widowControl/>
      <w:spacing w:before="120" w:line="360" w:lineRule="auto"/>
      <w:ind w:firstLine="480" w:firstLineChars="200"/>
      <w:jc w:val="left"/>
    </w:pPr>
    <w:rPr>
      <w:sz w:val="24"/>
      <w:lang w:val="zh-CN"/>
    </w:rPr>
  </w:style>
  <w:style w:type="character" w:customStyle="1" w:styleId="65">
    <w:name w:val="apple-converted-space"/>
    <w:basedOn w:val="43"/>
    <w:qFormat/>
    <w:uiPriority w:val="0"/>
  </w:style>
  <w:style w:type="character" w:customStyle="1" w:styleId="66">
    <w:name w:val="标准正文 Char"/>
    <w:link w:val="67"/>
    <w:qFormat/>
    <w:uiPriority w:val="0"/>
    <w:rPr>
      <w:rFonts w:cs="宋体"/>
      <w:kern w:val="2"/>
      <w:sz w:val="24"/>
    </w:rPr>
  </w:style>
  <w:style w:type="paragraph" w:customStyle="1" w:styleId="67">
    <w:name w:val="标准正文"/>
    <w:basedOn w:val="1"/>
    <w:link w:val="66"/>
    <w:qFormat/>
    <w:uiPriority w:val="0"/>
    <w:pPr>
      <w:spacing w:before="156" w:after="156" w:line="360" w:lineRule="auto"/>
      <w:ind w:firstLine="480" w:firstLineChars="200"/>
    </w:pPr>
    <w:rPr>
      <w:sz w:val="24"/>
      <w:lang w:val="zh-CN"/>
    </w:rPr>
  </w:style>
  <w:style w:type="character" w:customStyle="1" w:styleId="68">
    <w:name w:val="批注框文本 字符"/>
    <w:link w:val="27"/>
    <w:qFormat/>
    <w:uiPriority w:val="99"/>
    <w:rPr>
      <w:kern w:val="2"/>
      <w:sz w:val="18"/>
      <w:szCs w:val="18"/>
    </w:rPr>
  </w:style>
  <w:style w:type="character" w:customStyle="1" w:styleId="69">
    <w:name w:val="正文文本首行缩进 字符"/>
    <w:link w:val="2"/>
    <w:qFormat/>
    <w:uiPriority w:val="0"/>
    <w:rPr>
      <w:rFonts w:ascii="宋体" w:eastAsia="仿宋_GB2312"/>
      <w:kern w:val="2"/>
      <w:sz w:val="28"/>
    </w:rPr>
  </w:style>
  <w:style w:type="character" w:customStyle="1" w:styleId="70">
    <w:name w:val="正文文本 字符"/>
    <w:link w:val="3"/>
    <w:qFormat/>
    <w:uiPriority w:val="0"/>
    <w:rPr>
      <w:rFonts w:ascii="宋体"/>
      <w:kern w:val="2"/>
      <w:sz w:val="24"/>
    </w:rPr>
  </w:style>
  <w:style w:type="character" w:customStyle="1" w:styleId="71">
    <w:name w:val="正文文本 3 Char Char"/>
    <w:qFormat/>
    <w:uiPriority w:val="0"/>
    <w:rPr>
      <w:kern w:val="2"/>
      <w:sz w:val="16"/>
      <w:szCs w:val="16"/>
    </w:rPr>
  </w:style>
  <w:style w:type="character" w:customStyle="1" w:styleId="72">
    <w:name w:val="投标文件 正文首行缩进 Char Char"/>
    <w:link w:val="73"/>
    <w:qFormat/>
    <w:uiPriority w:val="0"/>
    <w:rPr>
      <w:rFonts w:ascii="Arial" w:hAnsi="Arial"/>
      <w:kern w:val="2"/>
      <w:sz w:val="21"/>
      <w:szCs w:val="24"/>
    </w:rPr>
  </w:style>
  <w:style w:type="paragraph" w:customStyle="1" w:styleId="73">
    <w:name w:val="投标文件 正文首行缩进"/>
    <w:basedOn w:val="21"/>
    <w:link w:val="72"/>
    <w:qFormat/>
    <w:uiPriority w:val="0"/>
    <w:rPr>
      <w:rFonts w:ascii="Arial" w:hAnsi="Arial"/>
    </w:rPr>
  </w:style>
  <w:style w:type="character" w:customStyle="1" w:styleId="74">
    <w:name w:val="GW-正文 Char"/>
    <w:link w:val="75"/>
    <w:qFormat/>
    <w:uiPriority w:val="0"/>
    <w:rPr>
      <w:rFonts w:eastAsia="仿宋_GB2312"/>
      <w:kern w:val="2"/>
      <w:sz w:val="24"/>
      <w:szCs w:val="24"/>
    </w:rPr>
  </w:style>
  <w:style w:type="paragraph" w:customStyle="1" w:styleId="75">
    <w:name w:val="GW-正文"/>
    <w:basedOn w:val="1"/>
    <w:link w:val="74"/>
    <w:qFormat/>
    <w:uiPriority w:val="0"/>
    <w:pPr>
      <w:spacing w:line="360" w:lineRule="auto"/>
      <w:ind w:firstLine="200" w:firstLineChars="200"/>
    </w:pPr>
    <w:rPr>
      <w:rFonts w:eastAsia="仿宋_GB2312"/>
      <w:sz w:val="24"/>
      <w:szCs w:val="24"/>
      <w:lang w:val="zh-CN"/>
    </w:rPr>
  </w:style>
  <w:style w:type="character" w:customStyle="1" w:styleId="76">
    <w:name w:val="标题 3 Char1"/>
    <w:qFormat/>
    <w:uiPriority w:val="0"/>
    <w:rPr>
      <w:rFonts w:eastAsia="宋体"/>
      <w:b/>
      <w:bCs/>
      <w:kern w:val="2"/>
      <w:sz w:val="32"/>
      <w:szCs w:val="32"/>
      <w:lang w:val="en-US" w:eastAsia="zh-CN" w:bidi="ar-SA"/>
    </w:rPr>
  </w:style>
  <w:style w:type="character" w:customStyle="1" w:styleId="77">
    <w:name w:val="正文（缩进） Char"/>
    <w:link w:val="78"/>
    <w:qFormat/>
    <w:uiPriority w:val="0"/>
    <w:rPr>
      <w:kern w:val="2"/>
      <w:sz w:val="24"/>
      <w:szCs w:val="24"/>
    </w:rPr>
  </w:style>
  <w:style w:type="paragraph" w:customStyle="1" w:styleId="78">
    <w:name w:val="正文（缩进）"/>
    <w:basedOn w:val="1"/>
    <w:link w:val="77"/>
    <w:qFormat/>
    <w:uiPriority w:val="0"/>
    <w:pPr>
      <w:widowControl/>
      <w:spacing w:before="156" w:beforeLines="50" w:after="156" w:afterLines="50" w:line="360" w:lineRule="auto"/>
      <w:ind w:firstLine="480" w:firstLineChars="200"/>
      <w:jc w:val="left"/>
    </w:pPr>
    <w:rPr>
      <w:sz w:val="24"/>
      <w:szCs w:val="24"/>
      <w:lang w:val="zh-CN"/>
    </w:rPr>
  </w:style>
  <w:style w:type="character" w:customStyle="1" w:styleId="79">
    <w:name w:val="short_text1"/>
    <w:qFormat/>
    <w:uiPriority w:val="0"/>
    <w:rPr>
      <w:sz w:val="26"/>
      <w:szCs w:val="26"/>
    </w:rPr>
  </w:style>
  <w:style w:type="character" w:customStyle="1" w:styleId="80">
    <w:name w:val="*正文 Char Char"/>
    <w:link w:val="81"/>
    <w:qFormat/>
    <w:uiPriority w:val="0"/>
    <w:rPr>
      <w:kern w:val="2"/>
      <w:sz w:val="24"/>
    </w:rPr>
  </w:style>
  <w:style w:type="paragraph" w:customStyle="1" w:styleId="81">
    <w:name w:val="*正文"/>
    <w:basedOn w:val="1"/>
    <w:next w:val="1"/>
    <w:link w:val="80"/>
    <w:qFormat/>
    <w:uiPriority w:val="0"/>
    <w:pPr>
      <w:widowControl/>
      <w:spacing w:line="400" w:lineRule="exact"/>
      <w:ind w:firstLine="200" w:firstLineChars="200"/>
      <w:jc w:val="left"/>
    </w:pPr>
    <w:rPr>
      <w:sz w:val="24"/>
      <w:lang w:val="zh-CN"/>
    </w:rPr>
  </w:style>
  <w:style w:type="character" w:customStyle="1" w:styleId="82">
    <w:name w:val="articletitle1"/>
    <w:qFormat/>
    <w:uiPriority w:val="0"/>
    <w:rPr>
      <w:rFonts w:hint="default" w:ascii="ˎ̥" w:hAnsi="ˎ̥"/>
      <w:b/>
      <w:bCs/>
      <w:color w:val="000000"/>
      <w:sz w:val="33"/>
      <w:szCs w:val="33"/>
    </w:rPr>
  </w:style>
  <w:style w:type="character" w:customStyle="1" w:styleId="83">
    <w:name w:val="grame"/>
    <w:qFormat/>
    <w:uiPriority w:val="0"/>
  </w:style>
  <w:style w:type="character" w:customStyle="1" w:styleId="84">
    <w:name w:val="批注文字 字符"/>
    <w:link w:val="18"/>
    <w:qFormat/>
    <w:uiPriority w:val="99"/>
    <w:rPr>
      <w:kern w:val="2"/>
      <w:sz w:val="21"/>
    </w:rPr>
  </w:style>
  <w:style w:type="character" w:customStyle="1" w:styleId="85">
    <w:name w:val="正文文本缩进 2 字符"/>
    <w:link w:val="26"/>
    <w:qFormat/>
    <w:uiPriority w:val="0"/>
    <w:rPr>
      <w:rFonts w:ascii="宋体"/>
      <w:kern w:val="2"/>
      <w:sz w:val="24"/>
    </w:rPr>
  </w:style>
  <w:style w:type="character" w:customStyle="1" w:styleId="86">
    <w:name w:val="正文文本 3 字符"/>
    <w:link w:val="19"/>
    <w:qFormat/>
    <w:uiPriority w:val="0"/>
    <w:rPr>
      <w:kern w:val="2"/>
      <w:sz w:val="16"/>
      <w:szCs w:val="16"/>
    </w:rPr>
  </w:style>
  <w:style w:type="character" w:customStyle="1" w:styleId="87">
    <w:name w:val="副标题 Char1"/>
    <w:qFormat/>
    <w:uiPriority w:val="11"/>
    <w:rPr>
      <w:rFonts w:ascii="Cambria" w:hAnsi="Cambria" w:cs="Times New Roman"/>
      <w:b/>
      <w:bCs/>
      <w:kern w:val="28"/>
      <w:sz w:val="32"/>
      <w:szCs w:val="32"/>
    </w:rPr>
  </w:style>
  <w:style w:type="character" w:customStyle="1" w:styleId="88">
    <w:name w:val="列表段落 字符"/>
    <w:link w:val="89"/>
    <w:qFormat/>
    <w:locked/>
    <w:uiPriority w:val="34"/>
    <w:rPr>
      <w:kern w:val="2"/>
      <w:sz w:val="21"/>
      <w:szCs w:val="24"/>
    </w:rPr>
  </w:style>
  <w:style w:type="paragraph" w:styleId="89">
    <w:name w:val="List Paragraph"/>
    <w:basedOn w:val="1"/>
    <w:link w:val="88"/>
    <w:qFormat/>
    <w:uiPriority w:val="99"/>
    <w:pPr>
      <w:ind w:firstLine="420" w:firstLineChars="200"/>
    </w:pPr>
    <w:rPr>
      <w:szCs w:val="24"/>
      <w:lang w:val="zh-CN"/>
    </w:rPr>
  </w:style>
  <w:style w:type="character" w:customStyle="1" w:styleId="90">
    <w:name w:val="正文首行缩进 2 Char1"/>
    <w:semiHidden/>
    <w:qFormat/>
    <w:uiPriority w:val="99"/>
    <w:rPr>
      <w:kern w:val="2"/>
      <w:sz w:val="21"/>
    </w:rPr>
  </w:style>
  <w:style w:type="character" w:customStyle="1" w:styleId="91">
    <w:name w:val="font81"/>
    <w:qFormat/>
    <w:uiPriority w:val="0"/>
    <w:rPr>
      <w:rFonts w:hint="eastAsia" w:ascii="宋体" w:hAnsi="宋体" w:eastAsia="宋体" w:cs="宋体"/>
      <w:color w:val="auto"/>
      <w:sz w:val="22"/>
      <w:szCs w:val="22"/>
      <w:u w:val="single"/>
    </w:rPr>
  </w:style>
  <w:style w:type="character" w:customStyle="1" w:styleId="92">
    <w:name w:val="正文首行缩进 Char1"/>
    <w:semiHidden/>
    <w:qFormat/>
    <w:uiPriority w:val="99"/>
    <w:rPr>
      <w:rFonts w:ascii="宋体"/>
      <w:kern w:val="2"/>
      <w:sz w:val="21"/>
    </w:rPr>
  </w:style>
  <w:style w:type="character" w:customStyle="1" w:styleId="93">
    <w:name w:val="*正文 Char"/>
    <w:qFormat/>
    <w:uiPriority w:val="0"/>
    <w:rPr>
      <w:rFonts w:ascii="Calibri" w:hAnsi="Calibri" w:eastAsia="宋体" w:cs="Times New Roman"/>
      <w:kern w:val="2"/>
      <w:sz w:val="24"/>
      <w:szCs w:val="24"/>
    </w:rPr>
  </w:style>
  <w:style w:type="character" w:customStyle="1" w:styleId="94">
    <w:name w:val="副标题 字符"/>
    <w:link w:val="32"/>
    <w:qFormat/>
    <w:uiPriority w:val="11"/>
    <w:rPr>
      <w:rFonts w:ascii="Cambria" w:hAnsi="Cambria"/>
      <w:b/>
      <w:bCs/>
      <w:kern w:val="28"/>
      <w:sz w:val="32"/>
      <w:szCs w:val="32"/>
    </w:rPr>
  </w:style>
  <w:style w:type="character" w:customStyle="1" w:styleId="95">
    <w:name w:val="标题 3 Char"/>
    <w:qFormat/>
    <w:uiPriority w:val="0"/>
    <w:rPr>
      <w:rFonts w:eastAsia="宋体"/>
      <w:b/>
      <w:bCs/>
      <w:kern w:val="2"/>
      <w:sz w:val="32"/>
      <w:szCs w:val="32"/>
      <w:lang w:val="en-US" w:eastAsia="zh-CN" w:bidi="ar-SA"/>
    </w:rPr>
  </w:style>
  <w:style w:type="character" w:customStyle="1" w:styleId="96">
    <w:name w:val="页眉 字符1"/>
    <w:link w:val="29"/>
    <w:qFormat/>
    <w:uiPriority w:val="99"/>
    <w:rPr>
      <w:kern w:val="2"/>
      <w:sz w:val="18"/>
    </w:rPr>
  </w:style>
  <w:style w:type="character" w:customStyle="1" w:styleId="97">
    <w:name w:val="日期 字符1"/>
    <w:link w:val="25"/>
    <w:qFormat/>
    <w:uiPriority w:val="99"/>
    <w:rPr>
      <w:sz w:val="28"/>
    </w:rPr>
  </w:style>
  <w:style w:type="character" w:customStyle="1" w:styleId="98">
    <w:name w:val="GP正文(首行缩进) Char"/>
    <w:link w:val="99"/>
    <w:qFormat/>
    <w:uiPriority w:val="0"/>
    <w:rPr>
      <w:rFonts w:ascii="Calibri" w:hAnsi="Calibri"/>
      <w:kern w:val="2"/>
      <w:sz w:val="24"/>
      <w:szCs w:val="24"/>
    </w:rPr>
  </w:style>
  <w:style w:type="paragraph" w:customStyle="1" w:styleId="99">
    <w:name w:val="GP正文(首行缩进)"/>
    <w:basedOn w:val="1"/>
    <w:link w:val="98"/>
    <w:qFormat/>
    <w:uiPriority w:val="0"/>
    <w:pPr>
      <w:spacing w:line="360" w:lineRule="auto"/>
      <w:ind w:firstLine="200" w:firstLineChars="200"/>
      <w:jc w:val="left"/>
    </w:pPr>
    <w:rPr>
      <w:rFonts w:ascii="Calibri" w:hAnsi="Calibri"/>
      <w:sz w:val="24"/>
      <w:szCs w:val="24"/>
      <w:lang w:val="zh-CN"/>
    </w:rPr>
  </w:style>
  <w:style w:type="character" w:customStyle="1" w:styleId="100">
    <w:name w:val="页脚 字符1"/>
    <w:link w:val="28"/>
    <w:qFormat/>
    <w:uiPriority w:val="99"/>
    <w:rPr>
      <w:kern w:val="2"/>
      <w:sz w:val="18"/>
    </w:rPr>
  </w:style>
  <w:style w:type="character" w:customStyle="1" w:styleId="101">
    <w:name w:val="题注(图注) Char"/>
    <w:qFormat/>
    <w:uiPriority w:val="0"/>
    <w:rPr>
      <w:rFonts w:ascii="Arial" w:hAnsi="Arial" w:eastAsia="黑体" w:cs="Arial"/>
      <w:szCs w:val="24"/>
    </w:rPr>
  </w:style>
  <w:style w:type="character" w:customStyle="1" w:styleId="102">
    <w:name w:val="不明显强调1"/>
    <w:qFormat/>
    <w:uiPriority w:val="0"/>
    <w:rPr>
      <w:rFonts w:eastAsia="仿宋_GB2312"/>
      <w:iCs/>
      <w:color w:val="auto"/>
      <w:sz w:val="24"/>
    </w:rPr>
  </w:style>
  <w:style w:type="character" w:customStyle="1" w:styleId="103">
    <w:name w:val="批注主题 字符"/>
    <w:link w:val="40"/>
    <w:qFormat/>
    <w:uiPriority w:val="99"/>
    <w:rPr>
      <w:b/>
      <w:bCs/>
      <w:kern w:val="2"/>
      <w:sz w:val="21"/>
    </w:rPr>
  </w:style>
  <w:style w:type="character" w:customStyle="1" w:styleId="104">
    <w:name w:val="题注 字符"/>
    <w:link w:val="16"/>
    <w:qFormat/>
    <w:uiPriority w:val="35"/>
    <w:rPr>
      <w:rFonts w:ascii="Arial" w:hAnsi="Arial" w:eastAsia="黑体" w:cs="Arial"/>
      <w:szCs w:val="24"/>
    </w:rPr>
  </w:style>
  <w:style w:type="character" w:customStyle="1" w:styleId="105">
    <w:name w:val="style131"/>
    <w:qFormat/>
    <w:uiPriority w:val="0"/>
    <w:rPr>
      <w:sz w:val="18"/>
      <w:szCs w:val="18"/>
    </w:rPr>
  </w:style>
  <w:style w:type="character" w:customStyle="1" w:styleId="106">
    <w:name w:val="明显强调1"/>
    <w:qFormat/>
    <w:uiPriority w:val="21"/>
    <w:rPr>
      <w:i/>
      <w:iCs/>
      <w:color w:val="4F81BD"/>
    </w:rPr>
  </w:style>
  <w:style w:type="character" w:customStyle="1" w:styleId="107">
    <w:name w:val="XDS正文 Char"/>
    <w:link w:val="108"/>
    <w:qFormat/>
    <w:uiPriority w:val="0"/>
    <w:rPr>
      <w:rFonts w:ascii="Calibri" w:hAnsi="Calibri" w:cs="黑体"/>
      <w:kern w:val="2"/>
      <w:sz w:val="24"/>
      <w:szCs w:val="22"/>
    </w:rPr>
  </w:style>
  <w:style w:type="paragraph" w:customStyle="1" w:styleId="108">
    <w:name w:val="XDS正文"/>
    <w:basedOn w:val="1"/>
    <w:link w:val="107"/>
    <w:qFormat/>
    <w:uiPriority w:val="0"/>
    <w:pPr>
      <w:widowControl/>
      <w:spacing w:line="360" w:lineRule="auto"/>
      <w:ind w:firstLine="200" w:firstLineChars="200"/>
      <w:jc w:val="left"/>
    </w:pPr>
    <w:rPr>
      <w:rFonts w:ascii="Calibri" w:hAnsi="Calibri"/>
      <w:sz w:val="24"/>
      <w:szCs w:val="22"/>
      <w:lang w:val="zh-CN"/>
    </w:rPr>
  </w:style>
  <w:style w:type="character" w:customStyle="1" w:styleId="109">
    <w:name w:val="style431"/>
    <w:qFormat/>
    <w:uiPriority w:val="0"/>
    <w:rPr>
      <w:sz w:val="24"/>
      <w:szCs w:val="24"/>
    </w:rPr>
  </w:style>
  <w:style w:type="character" w:customStyle="1" w:styleId="110">
    <w:name w:val="题注 字符1"/>
    <w:qFormat/>
    <w:uiPriority w:val="0"/>
    <w:rPr>
      <w:rFonts w:ascii="Arial Unicode MS" w:hAnsi="Arial Unicode MS"/>
      <w:lang w:val="zh-CN" w:eastAsia="zh-CN"/>
    </w:rPr>
  </w:style>
  <w:style w:type="character" w:customStyle="1" w:styleId="111">
    <w:name w:val="font51"/>
    <w:qFormat/>
    <w:uiPriority w:val="0"/>
    <w:rPr>
      <w:rFonts w:hint="eastAsia" w:ascii="宋体" w:hAnsi="宋体" w:eastAsia="宋体" w:cs="宋体"/>
      <w:color w:val="auto"/>
      <w:sz w:val="22"/>
      <w:szCs w:val="22"/>
      <w:u w:val="none"/>
    </w:rPr>
  </w:style>
  <w:style w:type="character" w:customStyle="1" w:styleId="112">
    <w:name w:val="孙普文字 Char"/>
    <w:qFormat/>
    <w:uiPriority w:val="0"/>
    <w:rPr>
      <w:rFonts w:ascii="宋体" w:hAnsi="Times New Roman" w:eastAsia="宋体" w:cs="Times New Roman"/>
      <w:szCs w:val="20"/>
    </w:rPr>
  </w:style>
  <w:style w:type="character" w:customStyle="1" w:styleId="113">
    <w:name w:val="不明显强调1_0"/>
    <w:qFormat/>
    <w:uiPriority w:val="19"/>
    <w:rPr>
      <w:i/>
      <w:iCs/>
      <w:color w:val="404040"/>
    </w:rPr>
  </w:style>
  <w:style w:type="character" w:customStyle="1" w:styleId="114">
    <w:name w:val="正文文本缩进 3 字符"/>
    <w:link w:val="34"/>
    <w:qFormat/>
    <w:uiPriority w:val="99"/>
    <w:rPr>
      <w:rFonts w:ascii="宋体"/>
      <w:color w:val="000000"/>
      <w:kern w:val="2"/>
      <w:sz w:val="26"/>
    </w:rPr>
  </w:style>
  <w:style w:type="character" w:customStyle="1" w:styleId="115">
    <w:name w:val="纯文本 字符"/>
    <w:link w:val="23"/>
    <w:qFormat/>
    <w:uiPriority w:val="0"/>
    <w:rPr>
      <w:rFonts w:ascii="宋体" w:eastAsia="宋体"/>
      <w:kern w:val="2"/>
      <w:sz w:val="21"/>
      <w:lang w:val="en-US" w:eastAsia="zh-CN" w:bidi="ar-SA"/>
    </w:rPr>
  </w:style>
  <w:style w:type="character" w:customStyle="1" w:styleId="116">
    <w:name w:val="编号，小四 Char"/>
    <w:link w:val="117"/>
    <w:qFormat/>
    <w:uiPriority w:val="0"/>
    <w:rPr>
      <w:rFonts w:ascii="Verdana" w:hAnsi="Verdana"/>
      <w:kern w:val="2"/>
      <w:sz w:val="24"/>
    </w:rPr>
  </w:style>
  <w:style w:type="paragraph" w:customStyle="1" w:styleId="117">
    <w:name w:val="编号，小四"/>
    <w:basedOn w:val="1"/>
    <w:link w:val="116"/>
    <w:qFormat/>
    <w:uiPriority w:val="0"/>
    <w:pPr>
      <w:numPr>
        <w:ilvl w:val="0"/>
        <w:numId w:val="1"/>
      </w:numPr>
      <w:spacing w:line="360" w:lineRule="auto"/>
    </w:pPr>
    <w:rPr>
      <w:rFonts w:ascii="Verdana" w:hAnsi="Verdana"/>
      <w:sz w:val="24"/>
      <w:lang w:val="zh-CN"/>
    </w:rPr>
  </w:style>
  <w:style w:type="character" w:customStyle="1" w:styleId="118">
    <w:name w:val="纯文本 Char2"/>
    <w:qFormat/>
    <w:uiPriority w:val="99"/>
    <w:rPr>
      <w:rFonts w:ascii="宋体" w:eastAsia="宋体"/>
      <w:kern w:val="2"/>
      <w:sz w:val="21"/>
      <w:lang w:val="en-US" w:eastAsia="zh-CN" w:bidi="ar-SA"/>
    </w:rPr>
  </w:style>
  <w:style w:type="character" w:customStyle="1" w:styleId="119">
    <w:name w:val="样式 首行缩进:  0 字符 Char"/>
    <w:link w:val="120"/>
    <w:qFormat/>
    <w:uiPriority w:val="0"/>
    <w:rPr>
      <w:rFonts w:ascii="Arial" w:hAnsi="Arial" w:cs="宋体"/>
      <w:sz w:val="24"/>
    </w:rPr>
  </w:style>
  <w:style w:type="paragraph" w:customStyle="1" w:styleId="120">
    <w:name w:val="样式 首行缩进:  0 字符"/>
    <w:basedOn w:val="1"/>
    <w:link w:val="119"/>
    <w:qFormat/>
    <w:uiPriority w:val="0"/>
    <w:pPr>
      <w:widowControl/>
      <w:spacing w:line="360" w:lineRule="auto"/>
      <w:ind w:firstLine="200" w:firstLineChars="200"/>
      <w:jc w:val="left"/>
    </w:pPr>
    <w:rPr>
      <w:rFonts w:ascii="Arial" w:hAnsi="Arial"/>
      <w:kern w:val="0"/>
      <w:sz w:val="24"/>
      <w:lang w:val="zh-CN"/>
    </w:rPr>
  </w:style>
  <w:style w:type="character" w:customStyle="1" w:styleId="121">
    <w:name w:val="纯文本 Char1"/>
    <w:qFormat/>
    <w:uiPriority w:val="0"/>
    <w:rPr>
      <w:rFonts w:ascii="宋体" w:eastAsia="宋体"/>
      <w:kern w:val="2"/>
      <w:sz w:val="21"/>
      <w:lang w:val="en-US" w:eastAsia="zh-CN" w:bidi="ar-SA"/>
    </w:rPr>
  </w:style>
  <w:style w:type="character" w:customStyle="1" w:styleId="122">
    <w:name w:val="标题1"/>
    <w:qFormat/>
    <w:uiPriority w:val="0"/>
  </w:style>
  <w:style w:type="character" w:customStyle="1" w:styleId="123">
    <w:name w:val="1的正文 字符"/>
    <w:link w:val="124"/>
    <w:qFormat/>
    <w:uiPriority w:val="0"/>
    <w:rPr>
      <w:rFonts w:ascii="Calibri" w:hAnsi="Calibri"/>
      <w:kern w:val="2"/>
      <w:sz w:val="24"/>
      <w:szCs w:val="24"/>
    </w:rPr>
  </w:style>
  <w:style w:type="paragraph" w:customStyle="1" w:styleId="124">
    <w:name w:val="1的正文"/>
    <w:basedOn w:val="1"/>
    <w:link w:val="123"/>
    <w:qFormat/>
    <w:uiPriority w:val="0"/>
    <w:pPr>
      <w:spacing w:line="360" w:lineRule="auto"/>
      <w:ind w:firstLine="200" w:firstLineChars="200"/>
    </w:pPr>
    <w:rPr>
      <w:rFonts w:ascii="Calibri" w:hAnsi="Calibri"/>
      <w:sz w:val="24"/>
      <w:szCs w:val="24"/>
      <w:lang w:val="zh-CN"/>
    </w:rPr>
  </w:style>
  <w:style w:type="paragraph" w:customStyle="1" w:styleId="125">
    <w:name w:val="列表段落1"/>
    <w:qFormat/>
    <w:uiPriority w:val="34"/>
    <w:pPr>
      <w:ind w:firstLine="420" w:firstLineChars="200"/>
    </w:pPr>
    <w:rPr>
      <w:rFonts w:ascii="Times New Roman" w:hAnsi="Times New Roman" w:eastAsia="宋体" w:cs="Times New Roman"/>
      <w:lang w:val="en-US" w:eastAsia="zh-CN" w:bidi="ar-SA"/>
    </w:rPr>
  </w:style>
  <w:style w:type="paragraph" w:customStyle="1" w:styleId="126">
    <w:name w:val="Char Char Char Char"/>
    <w:basedOn w:val="1"/>
    <w:qFormat/>
    <w:uiPriority w:val="0"/>
    <w:rPr>
      <w:szCs w:val="24"/>
    </w:rPr>
  </w:style>
  <w:style w:type="paragraph" w:customStyle="1" w:styleId="127">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etica Neue" w:hAnsi="Helvetica Neue"/>
      <w:color w:val="000000"/>
      <w:kern w:val="0"/>
      <w:sz w:val="20"/>
    </w:rPr>
  </w:style>
  <w:style w:type="paragraph" w:customStyle="1" w:styleId="128">
    <w:name w:val="正文五号"/>
    <w:basedOn w:val="1"/>
    <w:qFormat/>
    <w:uiPriority w:val="0"/>
    <w:rPr>
      <w:rFonts w:ascii="宋体" w:eastAsia="仿宋_GB2312"/>
    </w:rPr>
  </w:style>
  <w:style w:type="paragraph" w:customStyle="1" w:styleId="129">
    <w:name w:val="目录标题"/>
    <w:basedOn w:val="5"/>
    <w:next w:val="1"/>
    <w:qFormat/>
    <w:uiPriority w:val="0"/>
    <w:pPr>
      <w:widowControl/>
      <w:spacing w:before="480" w:line="276" w:lineRule="auto"/>
      <w:jc w:val="left"/>
      <w:outlineLvl w:val="9"/>
    </w:pPr>
    <w:rPr>
      <w:rFonts w:ascii="Cambria" w:hAnsi="Cambria"/>
      <w:bCs/>
      <w:color w:val="365F91"/>
      <w:spacing w:val="0"/>
      <w:kern w:val="0"/>
      <w:sz w:val="28"/>
      <w:szCs w:val="28"/>
      <w:lang w:val="en-US"/>
    </w:rPr>
  </w:style>
  <w:style w:type="paragraph" w:customStyle="1" w:styleId="13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31">
    <w:name w:val="修订1"/>
    <w:unhideWhenUsed/>
    <w:qFormat/>
    <w:uiPriority w:val="99"/>
    <w:rPr>
      <w:rFonts w:ascii="Times New Roman" w:hAnsi="Times New Roman" w:eastAsia="宋体" w:cs="Times New Roman"/>
      <w:kern w:val="2"/>
      <w:sz w:val="21"/>
      <w:lang w:val="en-US" w:eastAsia="zh-CN" w:bidi="ar-SA"/>
    </w:rPr>
  </w:style>
  <w:style w:type="paragraph" w:customStyle="1" w:styleId="132">
    <w:name w:val="xl103"/>
    <w:basedOn w:val="1"/>
    <w:qFormat/>
    <w:uiPriority w:val="0"/>
    <w:pPr>
      <w:widowControl/>
      <w:spacing w:before="100" w:beforeAutospacing="1" w:after="100" w:afterAutospacing="1"/>
      <w:jc w:val="right"/>
    </w:pPr>
    <w:rPr>
      <w:rFonts w:ascii="Helvetica Neue" w:hAnsi="Helvetica Neue"/>
      <w:color w:val="000000"/>
      <w:kern w:val="0"/>
      <w:sz w:val="20"/>
    </w:rPr>
  </w:style>
  <w:style w:type="paragraph" w:customStyle="1" w:styleId="133">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kern w:val="0"/>
      <w:sz w:val="20"/>
    </w:rPr>
  </w:style>
  <w:style w:type="paragraph" w:customStyle="1" w:styleId="13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3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136">
    <w:name w:val="p2"/>
    <w:basedOn w:val="1"/>
    <w:qFormat/>
    <w:uiPriority w:val="0"/>
    <w:pPr>
      <w:widowControl/>
      <w:spacing w:line="480" w:lineRule="auto"/>
      <w:ind w:firstLine="420"/>
      <w:jc w:val="left"/>
    </w:pPr>
    <w:rPr>
      <w:rFonts w:ascii="宋体" w:hAnsi="宋体" w:cs="宋体"/>
      <w:kern w:val="0"/>
      <w:szCs w:val="21"/>
    </w:rPr>
  </w:style>
  <w:style w:type="paragraph" w:customStyle="1" w:styleId="137">
    <w:name w:val="Char Char Char Char_0"/>
    <w:basedOn w:val="1"/>
    <w:qFormat/>
    <w:uiPriority w:val="0"/>
    <w:pPr>
      <w:widowControl/>
      <w:jc w:val="left"/>
    </w:pPr>
    <w:rPr>
      <w:rFonts w:ascii="Tahoma" w:hAnsi="Tahoma"/>
      <w:kern w:val="0"/>
      <w:sz w:val="24"/>
    </w:rPr>
  </w:style>
  <w:style w:type="paragraph" w:customStyle="1" w:styleId="138">
    <w:name w:val="xl128"/>
    <w:basedOn w:val="1"/>
    <w:qFormat/>
    <w:uiPriority w:val="0"/>
    <w:pPr>
      <w:widowControl/>
      <w:pBdr>
        <w:top w:val="single" w:color="auto" w:sz="4" w:space="0"/>
        <w:bottom w:val="single" w:color="auto" w:sz="4" w:space="0"/>
      </w:pBdr>
      <w:spacing w:before="100" w:beforeAutospacing="1" w:after="100" w:afterAutospacing="1"/>
      <w:jc w:val="center"/>
    </w:pPr>
    <w:rPr>
      <w:rFonts w:ascii="仿宋_GB2312" w:eastAsia="仿宋_GB2312"/>
      <w:kern w:val="0"/>
      <w:sz w:val="20"/>
    </w:rPr>
  </w:style>
  <w:style w:type="paragraph" w:customStyle="1" w:styleId="139">
    <w:name w:val="摸板正文"/>
    <w:basedOn w:val="20"/>
    <w:qFormat/>
    <w:uiPriority w:val="0"/>
    <w:pPr>
      <w:widowControl/>
      <w:spacing w:before="156" w:beforeLines="50" w:after="10" w:line="360" w:lineRule="auto"/>
      <w:ind w:left="200" w:leftChars="200" w:firstLine="0"/>
      <w:jc w:val="left"/>
    </w:pPr>
    <w:rPr>
      <w:sz w:val="24"/>
      <w:szCs w:val="24"/>
      <w:lang w:val="en-US"/>
    </w:rPr>
  </w:style>
  <w:style w:type="paragraph" w:customStyle="1" w:styleId="14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141">
    <w:name w:val="xl134"/>
    <w:basedOn w:val="1"/>
    <w:qFormat/>
    <w:uiPriority w:val="0"/>
    <w:pPr>
      <w:widowControl/>
      <w:pBdr>
        <w:left w:val="single" w:color="auto" w:sz="4" w:space="0"/>
        <w:right w:val="single" w:color="auto" w:sz="4" w:space="0"/>
      </w:pBdr>
      <w:spacing w:before="100" w:beforeAutospacing="1" w:after="100" w:afterAutospacing="1"/>
      <w:jc w:val="center"/>
    </w:pPr>
    <w:rPr>
      <w:kern w:val="0"/>
      <w:sz w:val="20"/>
    </w:rPr>
  </w:style>
  <w:style w:type="paragraph" w:customStyle="1" w:styleId="142">
    <w:name w:val="子弹１"/>
    <w:basedOn w:val="143"/>
    <w:qFormat/>
    <w:uiPriority w:val="0"/>
    <w:pPr>
      <w:tabs>
        <w:tab w:val="left" w:pos="873"/>
        <w:tab w:val="left" w:pos="1134"/>
        <w:tab w:val="right" w:pos="9356"/>
      </w:tabs>
    </w:pPr>
  </w:style>
  <w:style w:type="paragraph" w:customStyle="1" w:styleId="143">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14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145">
    <w:name w:val="_Style 1"/>
    <w:basedOn w:val="1"/>
    <w:qFormat/>
    <w:uiPriority w:val="34"/>
    <w:pPr>
      <w:spacing w:line="276" w:lineRule="auto"/>
      <w:ind w:left="720"/>
      <w:contextualSpacing/>
    </w:pPr>
    <w:rPr>
      <w:rFonts w:ascii="Calibri" w:hAnsi="Calibri"/>
      <w:szCs w:val="24"/>
    </w:rPr>
  </w:style>
  <w:style w:type="paragraph" w:customStyle="1" w:styleId="146">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147">
    <w:name w:val="Char Char Char Char1"/>
    <w:basedOn w:val="17"/>
    <w:qFormat/>
    <w:uiPriority w:val="0"/>
    <w:pPr>
      <w:adjustRightInd w:val="0"/>
      <w:snapToGrid w:val="0"/>
      <w:spacing w:line="360" w:lineRule="auto"/>
    </w:pPr>
    <w:rPr>
      <w:rFonts w:ascii="Tahoma" w:hAnsi="Tahoma"/>
      <w:sz w:val="24"/>
      <w:szCs w:val="24"/>
    </w:rPr>
  </w:style>
  <w:style w:type="paragraph" w:customStyle="1" w:styleId="148">
    <w:name w:val="xl13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149">
    <w:name w:val="修订11"/>
    <w:semiHidden/>
    <w:qFormat/>
    <w:uiPriority w:val="99"/>
    <w:rPr>
      <w:rFonts w:ascii="Times New Roman" w:hAnsi="Times New Roman" w:eastAsia="宋体" w:cs="Times New Roman"/>
      <w:kern w:val="2"/>
      <w:sz w:val="21"/>
      <w:lang w:val="en-US" w:eastAsia="zh-CN" w:bidi="ar-SA"/>
    </w:rPr>
  </w:style>
  <w:style w:type="paragraph" w:customStyle="1" w:styleId="150">
    <w:name w:val="font7"/>
    <w:basedOn w:val="1"/>
    <w:qFormat/>
    <w:uiPriority w:val="0"/>
    <w:pPr>
      <w:widowControl/>
      <w:spacing w:before="100" w:beforeAutospacing="1" w:after="100" w:afterAutospacing="1"/>
      <w:jc w:val="left"/>
    </w:pPr>
    <w:rPr>
      <w:kern w:val="0"/>
      <w:sz w:val="20"/>
    </w:rPr>
  </w:style>
  <w:style w:type="paragraph" w:customStyle="1" w:styleId="151">
    <w:name w:val="font6"/>
    <w:basedOn w:val="1"/>
    <w:qFormat/>
    <w:uiPriority w:val="0"/>
    <w:pPr>
      <w:widowControl/>
      <w:spacing w:before="100" w:beforeAutospacing="1" w:after="100" w:afterAutospacing="1"/>
      <w:jc w:val="left"/>
    </w:pPr>
    <w:rPr>
      <w:rFonts w:ascii="仿宋_GB2312" w:eastAsia="仿宋_GB2312"/>
      <w:kern w:val="0"/>
      <w:sz w:val="20"/>
    </w:rPr>
  </w:style>
  <w:style w:type="paragraph" w:customStyle="1" w:styleId="152">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5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154">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155">
    <w:name w:val="表格"/>
    <w:basedOn w:val="1"/>
    <w:qFormat/>
    <w:uiPriority w:val="0"/>
    <w:pPr>
      <w:tabs>
        <w:tab w:val="left" w:pos="1200"/>
      </w:tabs>
      <w:spacing w:line="500" w:lineRule="exact"/>
      <w:jc w:val="center"/>
    </w:pPr>
    <w:rPr>
      <w:rFonts w:ascii="宋体"/>
      <w:sz w:val="24"/>
      <w:szCs w:val="18"/>
    </w:rPr>
  </w:style>
  <w:style w:type="paragraph" w:customStyle="1" w:styleId="156">
    <w:name w:val="xl23"/>
    <w:next w:val="37"/>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57">
    <w:name w:val="Char"/>
    <w:basedOn w:val="1"/>
    <w:qFormat/>
    <w:uiPriority w:val="0"/>
    <w:pPr>
      <w:widowControl/>
      <w:spacing w:after="160" w:line="240" w:lineRule="exact"/>
      <w:jc w:val="left"/>
    </w:pPr>
    <w:rPr>
      <w:rFonts w:ascii="Verdana" w:hAnsi="Verdana"/>
      <w:kern w:val="0"/>
      <w:sz w:val="20"/>
      <w:lang w:eastAsia="en-US"/>
    </w:rPr>
  </w:style>
  <w:style w:type="paragraph" w:customStyle="1" w:styleId="158">
    <w:name w:val="样式1"/>
    <w:basedOn w:val="6"/>
    <w:qFormat/>
    <w:uiPriority w:val="0"/>
    <w:pPr>
      <w:spacing w:line="416" w:lineRule="atLeast"/>
      <w:jc w:val="left"/>
    </w:pPr>
    <w:rPr>
      <w:rFonts w:eastAsia="黑体"/>
      <w:spacing w:val="0"/>
      <w:kern w:val="0"/>
      <w:sz w:val="30"/>
    </w:rPr>
  </w:style>
  <w:style w:type="paragraph" w:customStyle="1" w:styleId="159">
    <w:name w:val="Char Char1 Char Char"/>
    <w:basedOn w:val="1"/>
    <w:qFormat/>
    <w:uiPriority w:val="0"/>
    <w:pPr>
      <w:tabs>
        <w:tab w:val="left" w:pos="360"/>
      </w:tabs>
    </w:pPr>
  </w:style>
  <w:style w:type="paragraph" w:customStyle="1" w:styleId="160">
    <w:name w:val="Char13"/>
    <w:basedOn w:val="1"/>
    <w:qFormat/>
    <w:uiPriority w:val="0"/>
    <w:rPr>
      <w:szCs w:val="24"/>
    </w:rPr>
  </w:style>
  <w:style w:type="paragraph" w:customStyle="1" w:styleId="161">
    <w:name w:val="xl101"/>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kern w:val="0"/>
      <w:sz w:val="20"/>
    </w:rPr>
  </w:style>
  <w:style w:type="paragraph" w:customStyle="1" w:styleId="162">
    <w:name w:val="Absatz2AL"/>
    <w:basedOn w:val="3"/>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63">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164">
    <w:name w:val="Char Char1"/>
    <w:basedOn w:val="1"/>
    <w:qFormat/>
    <w:uiPriority w:val="0"/>
    <w:pPr>
      <w:widowControl/>
      <w:spacing w:after="160" w:line="240" w:lineRule="exact"/>
      <w:jc w:val="left"/>
    </w:pPr>
    <w:rPr>
      <w:rFonts w:ascii="Verdana" w:hAnsi="Verdana" w:eastAsia="仿宋_GB2312"/>
      <w:kern w:val="0"/>
      <w:sz w:val="20"/>
      <w:lang w:eastAsia="en-US"/>
    </w:rPr>
  </w:style>
  <w:style w:type="paragraph" w:customStyle="1" w:styleId="165">
    <w:name w:val="目录"/>
    <w:basedOn w:val="1"/>
    <w:qFormat/>
    <w:uiPriority w:val="0"/>
    <w:pPr>
      <w:widowControl/>
      <w:jc w:val="center"/>
    </w:pPr>
    <w:rPr>
      <w:rFonts w:ascii="宋体"/>
      <w:b/>
      <w:kern w:val="0"/>
      <w:sz w:val="36"/>
    </w:rPr>
  </w:style>
  <w:style w:type="paragraph" w:customStyle="1" w:styleId="166">
    <w:name w:val="样式2"/>
    <w:basedOn w:val="1"/>
    <w:qFormat/>
    <w:uiPriority w:val="0"/>
    <w:pPr>
      <w:spacing w:line="360" w:lineRule="auto"/>
    </w:pPr>
    <w:rPr>
      <w:rFonts w:ascii="Century Gothic" w:hAnsi="Century Gothic" w:eastAsia="黑体"/>
      <w:b/>
      <w:sz w:val="32"/>
      <w:szCs w:val="30"/>
    </w:rPr>
  </w:style>
  <w:style w:type="paragraph" w:customStyle="1" w:styleId="167">
    <w:name w:val="无间距"/>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reader-word-layer reader-word-s10-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9">
    <w:name w:val="xl120"/>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17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仿宋_GB2312" w:eastAsia="仿宋_GB2312"/>
      <w:kern w:val="0"/>
      <w:sz w:val="20"/>
    </w:rPr>
  </w:style>
  <w:style w:type="paragraph" w:customStyle="1" w:styleId="171">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2">
    <w:name w:val="Char Char Char"/>
    <w:basedOn w:val="1"/>
    <w:qFormat/>
    <w:uiPriority w:val="0"/>
    <w:pPr>
      <w:ind w:firstLine="200" w:firstLineChars="200"/>
    </w:pPr>
    <w:rPr>
      <w:sz w:val="24"/>
      <w:szCs w:val="24"/>
    </w:rPr>
  </w:style>
  <w:style w:type="paragraph" w:customStyle="1" w:styleId="173">
    <w:name w:val="xl83"/>
    <w:basedOn w:val="1"/>
    <w:qFormat/>
    <w:uiPriority w:val="0"/>
    <w:pPr>
      <w:widowControl/>
      <w:spacing w:before="100" w:beforeAutospacing="1" w:after="100" w:afterAutospacing="1"/>
      <w:jc w:val="left"/>
    </w:pPr>
    <w:rPr>
      <w:rFonts w:ascii="Helvetica Neue" w:hAnsi="Helvetica Neue"/>
      <w:color w:val="000000"/>
      <w:kern w:val="0"/>
      <w:sz w:val="20"/>
    </w:rPr>
  </w:style>
  <w:style w:type="paragraph" w:customStyle="1" w:styleId="174">
    <w:name w:val="列出段落1"/>
    <w:basedOn w:val="1"/>
    <w:qFormat/>
    <w:uiPriority w:val="0"/>
    <w:pPr>
      <w:ind w:firstLine="420" w:firstLineChars="200"/>
    </w:pPr>
    <w:rPr>
      <w:rFonts w:ascii="Calibri" w:hAnsi="Calibri"/>
      <w:szCs w:val="22"/>
    </w:rPr>
  </w:style>
  <w:style w:type="paragraph" w:customStyle="1" w:styleId="175">
    <w:name w:val="抬头"/>
    <w:basedOn w:val="1"/>
    <w:qFormat/>
    <w:uiPriority w:val="0"/>
    <w:pPr>
      <w:spacing w:beforeLines="50" w:line="360" w:lineRule="auto"/>
    </w:pPr>
    <w:rPr>
      <w:rFonts w:ascii="宋体"/>
      <w:sz w:val="24"/>
      <w:szCs w:val="24"/>
    </w:rPr>
  </w:style>
  <w:style w:type="paragraph" w:customStyle="1" w:styleId="176">
    <w:name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7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78">
    <w:name w:val="reader-word-layer reader-word-s16-4"/>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9">
    <w:name w:val="Char1"/>
    <w:basedOn w:val="1"/>
    <w:qFormat/>
    <w:uiPriority w:val="0"/>
    <w:rPr>
      <w:rFonts w:ascii="Tahoma" w:hAnsi="Tahoma"/>
      <w:sz w:val="24"/>
    </w:rPr>
  </w:style>
  <w:style w:type="paragraph" w:customStyle="1" w:styleId="180">
    <w:name w:val="默认段落字体 Para Char Char Char Char"/>
    <w:basedOn w:val="1"/>
    <w:qFormat/>
    <w:uiPriority w:val="0"/>
    <w:rPr>
      <w:szCs w:val="24"/>
    </w:rPr>
  </w:style>
  <w:style w:type="paragraph" w:customStyle="1" w:styleId="181">
    <w:name w:val="TOC 标题1"/>
    <w:basedOn w:val="5"/>
    <w:next w:val="1"/>
    <w:unhideWhenUsed/>
    <w:qFormat/>
    <w:uiPriority w:val="39"/>
    <w:pPr>
      <w:widowControl/>
      <w:spacing w:before="480" w:line="276" w:lineRule="auto"/>
      <w:jc w:val="left"/>
      <w:outlineLvl w:val="9"/>
    </w:pPr>
    <w:rPr>
      <w:rFonts w:ascii="Cambria" w:hAnsi="Cambria"/>
      <w:bCs/>
      <w:color w:val="366091"/>
      <w:spacing w:val="0"/>
      <w:kern w:val="0"/>
      <w:sz w:val="28"/>
      <w:szCs w:val="28"/>
    </w:rPr>
  </w:style>
  <w:style w:type="paragraph" w:customStyle="1" w:styleId="182">
    <w:name w:val="xl72"/>
    <w:basedOn w:val="1"/>
    <w:qFormat/>
    <w:uiPriority w:val="0"/>
    <w:pPr>
      <w:widowControl/>
      <w:pBdr>
        <w:bottom w:val="single" w:color="auto" w:sz="4" w:space="0"/>
      </w:pBdr>
      <w:spacing w:before="100" w:beforeAutospacing="1" w:after="100" w:afterAutospacing="1"/>
      <w:jc w:val="center"/>
    </w:pPr>
    <w:rPr>
      <w:rFonts w:ascii="方正小标宋_GBK" w:hAnsi="方正小标宋_GBK"/>
      <w:color w:val="000000"/>
      <w:kern w:val="0"/>
      <w:sz w:val="36"/>
      <w:szCs w:val="36"/>
    </w:rPr>
  </w:style>
  <w:style w:type="paragraph" w:customStyle="1" w:styleId="183">
    <w:name w:val="缺省文本"/>
    <w:basedOn w:val="1"/>
    <w:qFormat/>
    <w:uiPriority w:val="0"/>
    <w:pPr>
      <w:autoSpaceDE w:val="0"/>
      <w:autoSpaceDN w:val="0"/>
      <w:adjustRightInd w:val="0"/>
      <w:jc w:val="left"/>
    </w:pPr>
    <w:rPr>
      <w:kern w:val="0"/>
      <w:sz w:val="24"/>
    </w:rPr>
  </w:style>
  <w:style w:type="paragraph" w:customStyle="1" w:styleId="184">
    <w:name w:val="标题3"/>
    <w:basedOn w:val="1"/>
    <w:qFormat/>
    <w:uiPriority w:val="0"/>
    <w:pPr>
      <w:widowControl/>
      <w:spacing w:line="560" w:lineRule="exact"/>
      <w:jc w:val="left"/>
    </w:pPr>
    <w:rPr>
      <w:rFonts w:ascii="黑体" w:eastAsia="黑体" w:cs="宋体"/>
      <w:kern w:val="0"/>
      <w:sz w:val="30"/>
      <w:szCs w:val="30"/>
    </w:rPr>
  </w:style>
  <w:style w:type="paragraph" w:customStyle="1" w:styleId="185">
    <w:name w:val="xl11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18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187">
    <w:name w:val="正文 New New New"/>
    <w:qFormat/>
    <w:uiPriority w:val="0"/>
    <w:pPr>
      <w:jc w:val="both"/>
    </w:pPr>
    <w:rPr>
      <w:rFonts w:ascii="Times New Roman" w:hAnsi="Times New Roman" w:eastAsia="宋体" w:cs="Times New Roman"/>
      <w:kern w:val="2"/>
      <w:sz w:val="21"/>
      <w:lang w:val="en-US" w:eastAsia="zh-CN" w:bidi="ar-SA"/>
    </w:rPr>
  </w:style>
  <w:style w:type="paragraph" w:customStyle="1" w:styleId="188">
    <w:name w:val="正文(cx)"/>
    <w:basedOn w:val="1"/>
    <w:qFormat/>
    <w:uiPriority w:val="0"/>
    <w:pPr>
      <w:widowControl/>
      <w:spacing w:line="360" w:lineRule="auto"/>
      <w:ind w:firstLine="504" w:firstLineChars="200"/>
      <w:jc w:val="left"/>
    </w:pPr>
    <w:rPr>
      <w:rFonts w:ascii="宋体" w:hAnsi="宋体" w:cs="Arial"/>
      <w:spacing w:val="6"/>
      <w:kern w:val="0"/>
      <w:sz w:val="24"/>
      <w:szCs w:val="24"/>
    </w:rPr>
  </w:style>
  <w:style w:type="paragraph" w:customStyle="1" w:styleId="18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191">
    <w:name w:val="xl113"/>
    <w:basedOn w:val="1"/>
    <w:qFormat/>
    <w:uiPriority w:val="0"/>
    <w:pPr>
      <w:widowControl/>
      <w:spacing w:before="100" w:beforeAutospacing="1" w:after="100" w:afterAutospacing="1"/>
      <w:jc w:val="center"/>
    </w:pPr>
    <w:rPr>
      <w:rFonts w:ascii="黑体" w:hAnsi="黑体" w:eastAsia="黑体"/>
      <w:color w:val="000000"/>
      <w:kern w:val="0"/>
      <w:sz w:val="28"/>
      <w:szCs w:val="28"/>
    </w:rPr>
  </w:style>
  <w:style w:type="paragraph" w:customStyle="1" w:styleId="192">
    <w:name w:val="5"/>
    <w:basedOn w:val="1"/>
    <w:qFormat/>
    <w:uiPriority w:val="0"/>
    <w:pPr>
      <w:tabs>
        <w:tab w:val="right" w:pos="-2120"/>
      </w:tabs>
      <w:snapToGrid w:val="0"/>
    </w:pPr>
    <w:rPr>
      <w:rFonts w:ascii="Tahoma" w:hAnsi="Tahoma"/>
      <w:spacing w:val="6"/>
      <w:sz w:val="24"/>
    </w:rPr>
  </w:style>
  <w:style w:type="paragraph" w:customStyle="1" w:styleId="19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194">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95">
    <w:name w:val="font5"/>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196">
    <w:name w:val="xl1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仿宋_GB2312" w:eastAsia="仿宋_GB2312"/>
      <w:kern w:val="0"/>
      <w:sz w:val="20"/>
    </w:rPr>
  </w:style>
  <w:style w:type="paragraph" w:customStyle="1" w:styleId="197">
    <w:name w:val="xl85"/>
    <w:basedOn w:val="1"/>
    <w:qFormat/>
    <w:uiPriority w:val="0"/>
    <w:pPr>
      <w:widowControl/>
      <w:spacing w:before="100" w:beforeAutospacing="1" w:after="100" w:afterAutospacing="1"/>
      <w:jc w:val="left"/>
    </w:pPr>
    <w:rPr>
      <w:rFonts w:ascii="Helvetica Neue" w:hAnsi="Helvetica Neue"/>
      <w:color w:val="000000"/>
      <w:kern w:val="0"/>
      <w:sz w:val="20"/>
    </w:rPr>
  </w:style>
  <w:style w:type="paragraph" w:customStyle="1" w:styleId="198">
    <w:name w:val="彩色列表 - 强调文字颜色 11"/>
    <w:basedOn w:val="1"/>
    <w:qFormat/>
    <w:uiPriority w:val="34"/>
    <w:pPr>
      <w:widowControl/>
      <w:ind w:firstLine="420" w:firstLineChars="200"/>
      <w:jc w:val="left"/>
    </w:pPr>
    <w:rPr>
      <w:rFonts w:ascii="Calibri" w:hAnsi="Calibri"/>
      <w:kern w:val="0"/>
      <w:sz w:val="24"/>
      <w:szCs w:val="22"/>
    </w:rPr>
  </w:style>
  <w:style w:type="paragraph" w:customStyle="1" w:styleId="199">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kern w:val="0"/>
      <w:sz w:val="20"/>
    </w:rPr>
  </w:style>
  <w:style w:type="paragraph" w:customStyle="1" w:styleId="20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仿宋_GB2312" w:eastAsia="仿宋_GB2312"/>
      <w:kern w:val="0"/>
      <w:sz w:val="20"/>
    </w:rPr>
  </w:style>
  <w:style w:type="paragraph" w:customStyle="1" w:styleId="201">
    <w:name w:val="标题6"/>
    <w:basedOn w:val="10"/>
    <w:next w:val="1"/>
    <w:qFormat/>
    <w:uiPriority w:val="0"/>
    <w:pPr>
      <w:numPr>
        <w:ilvl w:val="5"/>
        <w:numId w:val="1"/>
      </w:numPr>
      <w:spacing w:before="240" w:after="64" w:line="320" w:lineRule="auto"/>
    </w:pPr>
    <w:rPr>
      <w:rFonts w:ascii="Arial" w:hAnsi="Arial" w:cs="宋体"/>
      <w:sz w:val="24"/>
      <w:szCs w:val="20"/>
    </w:rPr>
  </w:style>
  <w:style w:type="paragraph" w:customStyle="1" w:styleId="202">
    <w:name w:val="xl104"/>
    <w:basedOn w:val="1"/>
    <w:qFormat/>
    <w:uiPriority w:val="0"/>
    <w:pPr>
      <w:widowControl/>
      <w:spacing w:before="100" w:beforeAutospacing="1" w:after="100" w:afterAutospacing="1"/>
      <w:jc w:val="right"/>
    </w:pPr>
    <w:rPr>
      <w:rFonts w:ascii="Helvetica Neue" w:hAnsi="Helvetica Neue"/>
      <w:color w:val="000000"/>
      <w:kern w:val="0"/>
      <w:sz w:val="20"/>
    </w:rPr>
  </w:style>
  <w:style w:type="paragraph" w:customStyle="1" w:styleId="20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04">
    <w:name w:val="xl119"/>
    <w:basedOn w:val="1"/>
    <w:qFormat/>
    <w:uiPriority w:val="0"/>
    <w:pPr>
      <w:widowControl/>
      <w:pBdr>
        <w:left w:val="single" w:color="auto" w:sz="4" w:space="0"/>
        <w:right w:val="single" w:color="auto" w:sz="4" w:space="0"/>
      </w:pBdr>
      <w:spacing w:before="100" w:beforeAutospacing="1" w:after="100" w:afterAutospacing="1"/>
      <w:jc w:val="right"/>
    </w:pPr>
    <w:rPr>
      <w:kern w:val="0"/>
      <w:sz w:val="20"/>
    </w:rPr>
  </w:style>
  <w:style w:type="paragraph" w:customStyle="1" w:styleId="205">
    <w:name w:val="reader-word-layer reader-word-s14-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0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08">
    <w:name w:val="xl13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20"/>
    </w:rPr>
  </w:style>
  <w:style w:type="paragraph" w:customStyle="1" w:styleId="209">
    <w:name w:val="样式 首行缩进:  0.74 厘米"/>
    <w:basedOn w:val="1"/>
    <w:qFormat/>
    <w:uiPriority w:val="0"/>
    <w:pPr>
      <w:spacing w:line="360" w:lineRule="auto"/>
      <w:ind w:firstLine="200" w:firstLineChars="200"/>
    </w:pPr>
    <w:rPr>
      <w:rFonts w:eastAsia="仿宋" w:cs="宋体"/>
      <w:sz w:val="24"/>
    </w:rPr>
  </w:style>
  <w:style w:type="paragraph" w:customStyle="1" w:styleId="21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Helvetica Neue" w:hAnsi="Helvetica Neue"/>
      <w:color w:val="000000"/>
      <w:kern w:val="0"/>
      <w:sz w:val="20"/>
    </w:rPr>
  </w:style>
  <w:style w:type="paragraph" w:customStyle="1" w:styleId="211">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21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13">
    <w:name w:val="xl12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14">
    <w:name w:val="xl9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215">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16">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17">
    <w:name w:val="标准"/>
    <w:basedOn w:val="1"/>
    <w:qFormat/>
    <w:uiPriority w:val="0"/>
    <w:pPr>
      <w:spacing w:line="360" w:lineRule="auto"/>
      <w:ind w:firstLine="200" w:firstLineChars="200"/>
    </w:pPr>
    <w:rPr>
      <w:rFonts w:ascii="Calibri" w:hAnsi="Calibri"/>
      <w:sz w:val="24"/>
      <w:szCs w:val="22"/>
    </w:rPr>
  </w:style>
  <w:style w:type="paragraph" w:customStyle="1" w:styleId="218">
    <w:name w:val="中等深浅网格 1 - 强调文字颜色 21"/>
    <w:basedOn w:val="1"/>
    <w:qFormat/>
    <w:uiPriority w:val="34"/>
    <w:pPr>
      <w:widowControl/>
      <w:ind w:firstLine="420" w:firstLineChars="200"/>
      <w:jc w:val="left"/>
    </w:pPr>
    <w:rPr>
      <w:rFonts w:ascii="Calibri" w:hAnsi="Calibri"/>
      <w:kern w:val="0"/>
      <w:sz w:val="24"/>
      <w:szCs w:val="22"/>
    </w:rPr>
  </w:style>
  <w:style w:type="paragraph" w:customStyle="1" w:styleId="219">
    <w:name w:val="xl123"/>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220">
    <w:name w:val="Char_0"/>
    <w:basedOn w:val="1"/>
    <w:qFormat/>
    <w:uiPriority w:val="0"/>
    <w:pPr>
      <w:widowControl/>
      <w:jc w:val="left"/>
    </w:pPr>
    <w:rPr>
      <w:rFonts w:ascii="Tahoma" w:hAnsi="Tahoma"/>
      <w:kern w:val="0"/>
      <w:sz w:val="24"/>
    </w:rPr>
  </w:style>
  <w:style w:type="paragraph" w:customStyle="1" w:styleId="221">
    <w:name w:val="xl125"/>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222">
    <w:name w:val="font8"/>
    <w:basedOn w:val="1"/>
    <w:qFormat/>
    <w:uiPriority w:val="0"/>
    <w:pPr>
      <w:widowControl/>
      <w:spacing w:before="100" w:beforeAutospacing="1" w:after="100" w:afterAutospacing="1"/>
      <w:jc w:val="left"/>
    </w:pPr>
    <w:rPr>
      <w:rFonts w:ascii="等线" w:hAnsi="等线" w:eastAsia="等线"/>
      <w:kern w:val="0"/>
      <w:sz w:val="18"/>
      <w:szCs w:val="18"/>
    </w:rPr>
  </w:style>
  <w:style w:type="paragraph" w:customStyle="1" w:styleId="223">
    <w:name w:val="样式 标题 5 + 段前: 0.5 行"/>
    <w:basedOn w:val="9"/>
    <w:qFormat/>
    <w:uiPriority w:val="0"/>
    <w:pPr>
      <w:numPr>
        <w:ilvl w:val="4"/>
        <w:numId w:val="1"/>
      </w:numPr>
      <w:adjustRightInd/>
      <w:snapToGrid w:val="0"/>
      <w:spacing w:before="0" w:beforeLines="50" w:after="0" w:line="360" w:lineRule="auto"/>
      <w:jc w:val="left"/>
      <w:textAlignment w:val="auto"/>
    </w:pPr>
    <w:rPr>
      <w:rFonts w:ascii="Arial" w:hAnsi="Arial" w:cs="宋体"/>
      <w:kern w:val="2"/>
      <w:szCs w:val="20"/>
      <w:lang w:val="en-US"/>
    </w:rPr>
  </w:style>
  <w:style w:type="paragraph" w:customStyle="1" w:styleId="224">
    <w:name w:val="TOC 标题1_0"/>
    <w:basedOn w:val="5"/>
    <w:next w:val="1"/>
    <w:unhideWhenUsed/>
    <w:qFormat/>
    <w:uiPriority w:val="39"/>
    <w:pPr>
      <w:widowControl/>
      <w:tabs>
        <w:tab w:val="clear" w:pos="360"/>
      </w:tabs>
      <w:spacing w:before="240" w:after="240" w:line="259" w:lineRule="auto"/>
      <w:jc w:val="left"/>
      <w:outlineLvl w:val="9"/>
    </w:pPr>
    <w:rPr>
      <w:rFonts w:ascii="Cambria" w:hAnsi="Cambria"/>
      <w:color w:val="365F91"/>
      <w:spacing w:val="0"/>
      <w:kern w:val="0"/>
      <w:szCs w:val="32"/>
      <w:lang w:val="en-US"/>
    </w:rPr>
  </w:style>
  <w:style w:type="paragraph" w:customStyle="1" w:styleId="225">
    <w:name w:val="xl77"/>
    <w:basedOn w:val="1"/>
    <w:qFormat/>
    <w:uiPriority w:val="0"/>
    <w:pPr>
      <w:widowControl/>
      <w:spacing w:before="100" w:beforeAutospacing="1" w:after="100" w:afterAutospacing="1"/>
      <w:jc w:val="center"/>
    </w:pPr>
    <w:rPr>
      <w:rFonts w:ascii="Helvetica Neue" w:hAnsi="Helvetica Neue"/>
      <w:color w:val="000000"/>
      <w:kern w:val="0"/>
      <w:sz w:val="20"/>
    </w:rPr>
  </w:style>
  <w:style w:type="paragraph" w:customStyle="1" w:styleId="226">
    <w:name w:val="xl11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22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28">
    <w:name w:val="标题7"/>
    <w:basedOn w:val="11"/>
    <w:next w:val="1"/>
    <w:qFormat/>
    <w:uiPriority w:val="0"/>
    <w:pPr>
      <w:numPr>
        <w:ilvl w:val="6"/>
        <w:numId w:val="1"/>
      </w:numPr>
    </w:pPr>
    <w:rPr>
      <w:rFonts w:ascii="Arial" w:hAnsi="Arial" w:eastAsia="黑体" w:cs="宋体"/>
      <w:b w:val="0"/>
      <w:lang w:eastAsia="en-US"/>
    </w:rPr>
  </w:style>
  <w:style w:type="paragraph" w:customStyle="1" w:styleId="229">
    <w:name w:val="标题9"/>
    <w:basedOn w:val="13"/>
    <w:next w:val="1"/>
    <w:qFormat/>
    <w:uiPriority w:val="0"/>
    <w:pPr>
      <w:numPr>
        <w:ilvl w:val="8"/>
        <w:numId w:val="1"/>
      </w:numPr>
    </w:pPr>
    <w:rPr>
      <w:lang w:eastAsia="en-US"/>
    </w:rPr>
  </w:style>
  <w:style w:type="paragraph" w:customStyle="1" w:styleId="230">
    <w:name w:val="标题8"/>
    <w:basedOn w:val="12"/>
    <w:next w:val="1"/>
    <w:qFormat/>
    <w:uiPriority w:val="0"/>
    <w:pPr>
      <w:numPr>
        <w:ilvl w:val="7"/>
        <w:numId w:val="1"/>
      </w:numPr>
    </w:pPr>
    <w:rPr>
      <w:rFonts w:eastAsia="黑体"/>
      <w:lang w:eastAsia="en-US"/>
    </w:rPr>
  </w:style>
  <w:style w:type="paragraph" w:customStyle="1" w:styleId="231">
    <w:name w:val="xl71"/>
    <w:basedOn w:val="1"/>
    <w:qFormat/>
    <w:uiPriority w:val="0"/>
    <w:pPr>
      <w:widowControl/>
      <w:spacing w:before="100" w:beforeAutospacing="1" w:after="100" w:afterAutospacing="1"/>
      <w:jc w:val="left"/>
    </w:pPr>
    <w:rPr>
      <w:rFonts w:ascii="Helvetica Neue" w:hAnsi="Helvetica Neue"/>
      <w:color w:val="000000"/>
      <w:kern w:val="0"/>
      <w:sz w:val="20"/>
    </w:rPr>
  </w:style>
  <w:style w:type="paragraph" w:customStyle="1" w:styleId="232">
    <w:name w:val="xl11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华文仿宋" w:hAnsi="华文仿宋" w:eastAsia="华文仿宋"/>
      <w:kern w:val="0"/>
      <w:sz w:val="18"/>
      <w:szCs w:val="18"/>
    </w:rPr>
  </w:style>
  <w:style w:type="paragraph" w:customStyle="1" w:styleId="233">
    <w:name w:val="xl87"/>
    <w:basedOn w:val="1"/>
    <w:qFormat/>
    <w:uiPriority w:val="0"/>
    <w:pPr>
      <w:widowControl/>
      <w:spacing w:before="100" w:beforeAutospacing="1" w:after="100" w:afterAutospacing="1"/>
      <w:jc w:val="right"/>
    </w:pPr>
    <w:rPr>
      <w:rFonts w:ascii="Helvetica Neue" w:hAnsi="Helvetica Neue"/>
      <w:color w:val="000000"/>
      <w:kern w:val="0"/>
      <w:sz w:val="20"/>
    </w:rPr>
  </w:style>
  <w:style w:type="paragraph" w:customStyle="1" w:styleId="234">
    <w:name w:val="表格正文"/>
    <w:basedOn w:val="1"/>
    <w:qFormat/>
    <w:uiPriority w:val="0"/>
    <w:pPr>
      <w:spacing w:line="360" w:lineRule="auto"/>
      <w:jc w:val="left"/>
    </w:pPr>
    <w:rPr>
      <w:rFonts w:ascii="Arial" w:hAnsi="Arial" w:cs="宋体"/>
    </w:rPr>
  </w:style>
  <w:style w:type="paragraph" w:customStyle="1" w:styleId="23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23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237">
    <w:name w:val="xl73"/>
    <w:basedOn w:val="1"/>
    <w:qFormat/>
    <w:uiPriority w:val="0"/>
    <w:pPr>
      <w:widowControl/>
      <w:pBdr>
        <w:bottom w:val="single" w:color="auto" w:sz="4" w:space="0"/>
      </w:pBdr>
      <w:spacing w:before="100" w:beforeAutospacing="1" w:after="100" w:afterAutospacing="1"/>
      <w:jc w:val="left"/>
    </w:pPr>
    <w:rPr>
      <w:rFonts w:ascii="方正小标宋_GBK" w:hAnsi="方正小标宋_GBK"/>
      <w:color w:val="000000"/>
      <w:kern w:val="0"/>
      <w:sz w:val="36"/>
      <w:szCs w:val="36"/>
    </w:rPr>
  </w:style>
  <w:style w:type="paragraph" w:customStyle="1" w:styleId="238">
    <w:name w:val="xl132"/>
    <w:basedOn w:val="1"/>
    <w:qFormat/>
    <w:uiPriority w:val="0"/>
    <w:pPr>
      <w:widowControl/>
      <w:pBdr>
        <w:left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3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40">
    <w:name w:val="xl124"/>
    <w:basedOn w:val="1"/>
    <w:qFormat/>
    <w:uiPriority w:val="0"/>
    <w:pPr>
      <w:widowControl/>
      <w:pBdr>
        <w:left w:val="single" w:color="auto" w:sz="4" w:space="0"/>
        <w:right w:val="single" w:color="auto" w:sz="4" w:space="0"/>
      </w:pBdr>
      <w:spacing w:before="100" w:beforeAutospacing="1" w:after="100" w:afterAutospacing="1"/>
      <w:jc w:val="right"/>
    </w:pPr>
    <w:rPr>
      <w:kern w:val="0"/>
      <w:sz w:val="20"/>
    </w:rPr>
  </w:style>
  <w:style w:type="paragraph" w:customStyle="1" w:styleId="241">
    <w:name w:val="xl108"/>
    <w:basedOn w:val="1"/>
    <w:qFormat/>
    <w:uiPriority w:val="0"/>
    <w:pPr>
      <w:widowControl/>
      <w:spacing w:before="100" w:beforeAutospacing="1" w:after="100" w:afterAutospacing="1"/>
      <w:jc w:val="left"/>
    </w:pPr>
    <w:rPr>
      <w:rFonts w:ascii="Helvetica Neue" w:hAnsi="Helvetica Neue"/>
      <w:color w:val="000000"/>
      <w:kern w:val="0"/>
      <w:sz w:val="20"/>
    </w:rPr>
  </w:style>
  <w:style w:type="paragraph" w:customStyle="1" w:styleId="24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243">
    <w:name w:val="xl138"/>
    <w:basedOn w:val="1"/>
    <w:qFormat/>
    <w:uiPriority w:val="0"/>
    <w:pPr>
      <w:widowControl/>
      <w:pBdr>
        <w:left w:val="single" w:color="auto" w:sz="4" w:space="0"/>
        <w:right w:val="single" w:color="auto" w:sz="4" w:space="0"/>
      </w:pBdr>
      <w:spacing w:before="100" w:beforeAutospacing="1" w:after="100" w:afterAutospacing="1"/>
      <w:jc w:val="center"/>
    </w:pPr>
    <w:rPr>
      <w:kern w:val="0"/>
      <w:sz w:val="20"/>
    </w:rPr>
  </w:style>
  <w:style w:type="paragraph" w:customStyle="1" w:styleId="24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45">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46">
    <w:name w:val="xl86"/>
    <w:basedOn w:val="1"/>
    <w:qFormat/>
    <w:uiPriority w:val="0"/>
    <w:pPr>
      <w:widowControl/>
      <w:spacing w:before="100" w:beforeAutospacing="1" w:after="100" w:afterAutospacing="1"/>
      <w:jc w:val="right"/>
    </w:pPr>
    <w:rPr>
      <w:rFonts w:ascii="Helvetica Neue" w:hAnsi="Helvetica Neue"/>
      <w:color w:val="000000"/>
      <w:kern w:val="0"/>
      <w:sz w:val="20"/>
    </w:rPr>
  </w:style>
  <w:style w:type="paragraph" w:customStyle="1" w:styleId="247">
    <w:name w:val="xl122"/>
    <w:basedOn w:val="1"/>
    <w:qFormat/>
    <w:uiPriority w:val="0"/>
    <w:pPr>
      <w:widowControl/>
      <w:pBdr>
        <w:left w:val="single" w:color="auto" w:sz="4" w:space="0"/>
        <w:right w:val="single" w:color="auto" w:sz="4" w:space="0"/>
      </w:pBdr>
      <w:spacing w:before="100" w:beforeAutospacing="1" w:after="100" w:afterAutospacing="1"/>
      <w:jc w:val="right"/>
    </w:pPr>
    <w:rPr>
      <w:kern w:val="0"/>
      <w:sz w:val="20"/>
    </w:rPr>
  </w:style>
  <w:style w:type="paragraph" w:customStyle="1" w:styleId="24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4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kern w:val="0"/>
      <w:sz w:val="20"/>
    </w:rPr>
  </w:style>
  <w:style w:type="paragraph" w:customStyle="1" w:styleId="250">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20"/>
    </w:rPr>
  </w:style>
  <w:style w:type="paragraph" w:customStyle="1" w:styleId="25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color w:val="FF0000"/>
      <w:kern w:val="0"/>
      <w:sz w:val="20"/>
    </w:rPr>
  </w:style>
  <w:style w:type="paragraph" w:customStyle="1" w:styleId="252">
    <w:name w:val="xl114"/>
    <w:basedOn w:val="1"/>
    <w:qFormat/>
    <w:uiPriority w:val="0"/>
    <w:pPr>
      <w:widowControl/>
      <w:pBdr>
        <w:bottom w:val="single" w:color="auto" w:sz="4" w:space="0"/>
      </w:pBdr>
      <w:spacing w:before="100" w:beforeAutospacing="1" w:after="100" w:afterAutospacing="1"/>
      <w:jc w:val="right"/>
    </w:pPr>
    <w:rPr>
      <w:rFonts w:ascii="仿宋_GB2312" w:eastAsia="仿宋_GB2312"/>
      <w:color w:val="000000"/>
      <w:kern w:val="0"/>
      <w:sz w:val="24"/>
      <w:szCs w:val="24"/>
    </w:rPr>
  </w:style>
  <w:style w:type="character" w:customStyle="1" w:styleId="253">
    <w:name w:val="标题 字符"/>
    <w:link w:val="39"/>
    <w:qFormat/>
    <w:uiPriority w:val="0"/>
    <w:rPr>
      <w:rFonts w:ascii="Arial" w:hAnsi="Arial"/>
      <w:b/>
      <w:sz w:val="32"/>
      <w:lang w:val="zh-CN" w:eastAsia="zh-CN"/>
    </w:rPr>
  </w:style>
  <w:style w:type="paragraph" w:customStyle="1" w:styleId="25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character" w:customStyle="1" w:styleId="255">
    <w:name w:val="font71"/>
    <w:qFormat/>
    <w:uiPriority w:val="0"/>
    <w:rPr>
      <w:rFonts w:hint="default" w:ascii="Times New Roman" w:hAnsi="Times New Roman" w:cs="Times New Roman"/>
      <w:color w:val="000000"/>
      <w:sz w:val="20"/>
      <w:szCs w:val="20"/>
      <w:u w:val="none"/>
    </w:rPr>
  </w:style>
  <w:style w:type="paragraph" w:customStyle="1" w:styleId="256">
    <w:name w:val="列出段落111"/>
    <w:basedOn w:val="1"/>
    <w:qFormat/>
    <w:uiPriority w:val="0"/>
    <w:pPr>
      <w:ind w:firstLine="420" w:firstLineChars="200"/>
    </w:pPr>
    <w:rPr>
      <w:rFonts w:ascii="Calibri" w:hAnsi="Calibri"/>
      <w:szCs w:val="22"/>
    </w:rPr>
  </w:style>
  <w:style w:type="paragraph" w:customStyle="1" w:styleId="257">
    <w:name w:val="Normal_0"/>
    <w:qFormat/>
    <w:uiPriority w:val="0"/>
    <w:pPr>
      <w:widowControl w:val="0"/>
      <w:jc w:val="both"/>
    </w:pPr>
    <w:rPr>
      <w:rFonts w:ascii="Times New Roman" w:hAnsi="Times New Roman" w:eastAsia="宋体" w:cs="Times New Roman"/>
      <w:lang w:val="en-US" w:eastAsia="zh-CN" w:bidi="ar-SA"/>
    </w:rPr>
  </w:style>
  <w:style w:type="character" w:customStyle="1" w:styleId="258">
    <w:name w:val="普通(网站) 字符"/>
    <w:link w:val="38"/>
    <w:qFormat/>
    <w:locked/>
    <w:uiPriority w:val="99"/>
    <w:rPr>
      <w:rFonts w:ascii="宋体" w:hAnsi="宋体"/>
      <w:sz w:val="24"/>
      <w:szCs w:val="24"/>
    </w:rPr>
  </w:style>
  <w:style w:type="character" w:customStyle="1" w:styleId="259">
    <w:name w:val="页眉 字符"/>
    <w:qFormat/>
    <w:uiPriority w:val="99"/>
    <w:rPr>
      <w:sz w:val="18"/>
      <w:szCs w:val="18"/>
    </w:rPr>
  </w:style>
  <w:style w:type="character" w:customStyle="1" w:styleId="260">
    <w:name w:val="页脚 字符"/>
    <w:qFormat/>
    <w:uiPriority w:val="99"/>
    <w:rPr>
      <w:sz w:val="18"/>
      <w:szCs w:val="18"/>
    </w:rPr>
  </w:style>
  <w:style w:type="character" w:customStyle="1" w:styleId="261">
    <w:name w:val="日期 字符"/>
    <w:basedOn w:val="43"/>
    <w:semiHidden/>
    <w:qFormat/>
    <w:uiPriority w:val="99"/>
  </w:style>
  <w:style w:type="paragraph" w:customStyle="1" w:styleId="262">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63">
    <w:name w:val="p1"/>
    <w:basedOn w:val="1"/>
    <w:qFormat/>
    <w:uiPriority w:val="0"/>
    <w:pPr>
      <w:widowControl/>
      <w:spacing w:line="480" w:lineRule="auto"/>
      <w:jc w:val="center"/>
    </w:pPr>
    <w:rPr>
      <w:rFonts w:ascii="宋体" w:hAnsi="宋体" w:cs="宋体"/>
      <w:kern w:val="0"/>
      <w:sz w:val="28"/>
      <w:szCs w:val="28"/>
    </w:rPr>
  </w:style>
  <w:style w:type="table" w:customStyle="1" w:styleId="264">
    <w:name w:val="网格型1"/>
    <w:basedOn w:val="4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
    <w:name w:val="网格型2"/>
    <w:basedOn w:val="4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6">
    <w:name w:val="Table Text"/>
    <w:basedOn w:val="1"/>
    <w:semiHidden/>
    <w:qFormat/>
    <w:uiPriority w:val="0"/>
    <w:rPr>
      <w:rFonts w:ascii="微软雅黑" w:hAnsi="微软雅黑" w:eastAsia="微软雅黑" w:cs="微软雅黑"/>
      <w:sz w:val="24"/>
      <w:szCs w:val="24"/>
      <w:lang w:eastAsia="en-US"/>
    </w:rPr>
  </w:style>
  <w:style w:type="table" w:customStyle="1" w:styleId="267">
    <w:name w:val="Table Normal"/>
    <w:semiHidden/>
    <w:unhideWhenUsed/>
    <w:qFormat/>
    <w:uiPriority w:val="0"/>
    <w:tblPr>
      <w:tblCellMar>
        <w:top w:w="0" w:type="dxa"/>
        <w:left w:w="0" w:type="dxa"/>
        <w:bottom w:w="0" w:type="dxa"/>
        <w:right w:w="0" w:type="dxa"/>
      </w:tblCellMar>
    </w:tblPr>
  </w:style>
  <w:style w:type="paragraph" w:customStyle="1" w:styleId="268">
    <w:name w:val="标题 21"/>
    <w:basedOn w:val="1"/>
    <w:qFormat/>
    <w:uiPriority w:val="0"/>
    <w:pPr>
      <w:keepNext/>
      <w:keepLines/>
      <w:spacing w:before="260" w:after="260" w:line="415" w:lineRule="auto"/>
      <w:outlineLvl w:val="1"/>
    </w:pPr>
    <w:rPr>
      <w:rFonts w:ascii="Arial" w:hAnsi="Arial" w:eastAsia="黑体"/>
      <w:b/>
      <w:bCs/>
      <w:sz w:val="32"/>
      <w:szCs w:val="32"/>
    </w:rPr>
  </w:style>
  <w:style w:type="paragraph" w:customStyle="1" w:styleId="269">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479180-B0C9-4905-8C89-A932303FAE38}">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Company>Users</Company>
  <Pages>61</Pages>
  <Words>15594</Words>
  <Characters>16602</Characters>
  <Lines>277</Lines>
  <Paragraphs>78</Paragraphs>
  <TotalTime>0</TotalTime>
  <ScaleCrop>false</ScaleCrop>
  <LinksUpToDate>false</LinksUpToDate>
  <CharactersWithSpaces>16805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2025-08-21T09:27:00Z</dcterms:created>
  <dc:creator>Windows 用户</dc:creator>
  <cp:lastModifiedBy>admin</cp:lastModifiedBy>
  <cp:lastPrinted>2019-06-05T13:38:00Z</cp:lastPrinted>
  <dcterms:modified xsi:type="dcterms:W3CDTF">2025-09-04T12:19:02Z</dcterms:modified>
  <dc:title>招标文件</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C21A106F9D9347448CAE52435C9179C8_13</vt:lpwstr>
  </property>
  <property fmtid="{D5CDD505-2E9C-101B-9397-08002B2CF9AE}" pid="4" name="KSOTemplateDocerSaveRecord">
    <vt:lpwstr>eyJoZGlkIjoiZmJlNTRkODU4Mzc2YjVhMzdlN2ZiN2EyZjE2YWUxN2EiLCJ1c2VySWQiOiIyMjQ5OTg2OTYifQ==</vt:lpwstr>
  </property>
</Properties>
</file>