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C38B7">
      <w:pPr>
        <w:pStyle w:val="4"/>
        <w:jc w:val="both"/>
      </w:pPr>
      <w:bookmarkStart w:id="0" w:name="_GoBack"/>
      <w:bookmarkEnd w:id="0"/>
      <w:r>
        <w:rPr>
          <w:rFonts w:ascii="仿宋_GB2312" w:hAnsi="仿宋_GB2312" w:eastAsia="仿宋_GB2312" w:cs="仿宋_GB2312"/>
          <w:b/>
          <w:sz w:val="28"/>
        </w:rPr>
        <w:t>（一）采购服务内容</w:t>
      </w:r>
    </w:p>
    <w:p w14:paraId="6CB15F92">
      <w:pPr>
        <w:pStyle w:val="4"/>
        <w:ind w:firstLine="480"/>
        <w:jc w:val="both"/>
      </w:pPr>
      <w:r>
        <w:rPr>
          <w:rFonts w:ascii="仿宋_GB2312" w:hAnsi="仿宋_GB2312" w:eastAsia="仿宋_GB2312" w:cs="仿宋_GB2312"/>
          <w:sz w:val="24"/>
        </w:rPr>
        <w:t>本项目服务采购内容主要包括一是城区公园绿地、广场绿地、道路绿地、滨河绿地的日常维护。城区绿地维护面积为97万平方米、城区所有公共绿化面积108万平方米，二是城区现有路灯21181盏，路灯控制柜105套，箱式变压器25台，喷泉一个，市政公用电梯两套及城区公用区域光彩工程的日常维护。具体内容如下：</w:t>
      </w:r>
    </w:p>
    <w:p w14:paraId="2E8CECA0">
      <w:pPr>
        <w:pStyle w:val="4"/>
        <w:ind w:firstLine="480"/>
        <w:jc w:val="both"/>
      </w:pPr>
      <w:r>
        <w:rPr>
          <w:rFonts w:ascii="仿宋_GB2312" w:hAnsi="仿宋_GB2312" w:eastAsia="仿宋_GB2312" w:cs="仿宋_GB2312"/>
          <w:sz w:val="24"/>
        </w:rPr>
        <w:t>1.公园绿地有蓬莱公园、白鹤坡公园、郪江湿地公园、小溪河文化公园、城区口袋公园等13个。</w:t>
      </w:r>
    </w:p>
    <w:p w14:paraId="2F095C74">
      <w:pPr>
        <w:pStyle w:val="4"/>
        <w:ind w:firstLine="480"/>
        <w:jc w:val="both"/>
      </w:pPr>
      <w:r>
        <w:rPr>
          <w:rFonts w:ascii="仿宋_GB2312" w:hAnsi="仿宋_GB2312" w:eastAsia="仿宋_GB2312" w:cs="仿宋_GB2312"/>
          <w:sz w:val="24"/>
        </w:rPr>
        <w:t>2.道路绿地有新老城区所有道路行道树、灌木、草坪日常修剪、灌溉、病虫害防治。</w:t>
      </w:r>
    </w:p>
    <w:p w14:paraId="61D9631B">
      <w:pPr>
        <w:pStyle w:val="4"/>
        <w:ind w:firstLine="480"/>
        <w:jc w:val="both"/>
      </w:pPr>
      <w:r>
        <w:rPr>
          <w:rFonts w:ascii="仿宋_GB2312" w:hAnsi="仿宋_GB2312" w:eastAsia="仿宋_GB2312" w:cs="仿宋_GB2312"/>
          <w:sz w:val="24"/>
        </w:rPr>
        <w:t>3.广场绿地有政府广场、朝阳广场、双龙广场等广场绿化日常修剪、灌溉、病虫害防治。</w:t>
      </w:r>
    </w:p>
    <w:p w14:paraId="0F58A3EF">
      <w:pPr>
        <w:pStyle w:val="4"/>
        <w:ind w:firstLine="480"/>
        <w:jc w:val="both"/>
      </w:pPr>
      <w:r>
        <w:rPr>
          <w:rFonts w:ascii="仿宋_GB2312" w:hAnsi="仿宋_GB2312" w:eastAsia="仿宋_GB2312" w:cs="仿宋_GB2312"/>
          <w:sz w:val="24"/>
        </w:rPr>
        <w:t>4.滨河绿地有小溪河、郪江沿岸所有绿化修剪、灌溉、病虫害防治。</w:t>
      </w:r>
    </w:p>
    <w:p w14:paraId="51952B25">
      <w:pPr>
        <w:pStyle w:val="4"/>
        <w:ind w:firstLine="480"/>
        <w:jc w:val="both"/>
      </w:pPr>
      <w:r>
        <w:rPr>
          <w:rFonts w:ascii="仿宋_GB2312" w:hAnsi="仿宋_GB2312" w:eastAsia="仿宋_GB2312" w:cs="仿宋_GB2312"/>
          <w:sz w:val="24"/>
        </w:rPr>
        <w:t>5.大英县城区10株古树名木日常管护、城区有害生物防治。</w:t>
      </w:r>
    </w:p>
    <w:p w14:paraId="773CDD48">
      <w:pPr>
        <w:pStyle w:val="4"/>
        <w:ind w:firstLine="480"/>
        <w:jc w:val="both"/>
      </w:pPr>
      <w:r>
        <w:rPr>
          <w:rFonts w:ascii="仿宋_GB2312" w:hAnsi="仿宋_GB2312" w:eastAsia="仿宋_GB2312" w:cs="仿宋_GB2312"/>
          <w:sz w:val="24"/>
        </w:rPr>
        <w:t>6.按要求完成城区路灯日常维护及时对损坏路灯进行维修，保证亮灯率在97%以上。</w:t>
      </w:r>
    </w:p>
    <w:p w14:paraId="64FBFB9F">
      <w:pPr>
        <w:pStyle w:val="4"/>
        <w:ind w:firstLine="480"/>
        <w:jc w:val="both"/>
      </w:pPr>
      <w:r>
        <w:rPr>
          <w:rFonts w:ascii="仿宋_GB2312" w:hAnsi="仿宋_GB2312" w:eastAsia="仿宋_GB2312" w:cs="仿宋_GB2312"/>
          <w:sz w:val="24"/>
        </w:rPr>
        <w:t>7.按要完成城区路灯控制柜105套，箱式变压器25台，喷泉，市政公用电梯两套的日常维护。</w:t>
      </w:r>
    </w:p>
    <w:p w14:paraId="0F1B8646">
      <w:pPr>
        <w:pStyle w:val="4"/>
        <w:ind w:firstLine="480"/>
        <w:jc w:val="both"/>
      </w:pPr>
      <w:r>
        <w:rPr>
          <w:rFonts w:ascii="仿宋_GB2312" w:hAnsi="仿宋_GB2312" w:eastAsia="仿宋_GB2312" w:cs="仿宋_GB2312"/>
          <w:sz w:val="24"/>
        </w:rPr>
        <w:t>8.半年内不得擅自解聘原有绿化、路灯工人，半年后的年裁减率不得超过原有工人总人数的10%，且工人工资必须按月足额发放，月工资标准不得低于遂宁市人民政府公布的同期最低月工资标准。</w:t>
      </w:r>
    </w:p>
    <w:p w14:paraId="2145C2CF">
      <w:pPr>
        <w:pStyle w:val="4"/>
        <w:ind w:firstLine="480"/>
        <w:jc w:val="both"/>
      </w:pPr>
      <w:r>
        <w:rPr>
          <w:rFonts w:ascii="仿宋_GB2312" w:hAnsi="仿宋_GB2312" w:eastAsia="仿宋_GB2312" w:cs="仿宋_GB2312"/>
          <w:sz w:val="24"/>
        </w:rPr>
        <w:t>9.项目服务内容包括但不限于以上内容，</w:t>
      </w:r>
      <w:r>
        <w:rPr>
          <w:rFonts w:hint="eastAsia" w:ascii="仿宋_GB2312" w:hAnsi="仿宋_GB2312" w:eastAsia="仿宋_GB2312" w:cs="仿宋_GB2312"/>
          <w:sz w:val="24"/>
          <w:lang w:val="en-US" w:eastAsia="zh-CN"/>
        </w:rPr>
        <w:t>供应商应综合考虑</w:t>
      </w:r>
      <w:r>
        <w:rPr>
          <w:rFonts w:ascii="仿宋_GB2312" w:hAnsi="仿宋_GB2312" w:eastAsia="仿宋_GB2312" w:cs="仿宋_GB2312"/>
          <w:sz w:val="24"/>
        </w:rPr>
        <w:t>在合同服务期内，</w:t>
      </w:r>
      <w:r>
        <w:rPr>
          <w:rFonts w:hint="eastAsia" w:ascii="仿宋_GB2312" w:hAnsi="仿宋_GB2312" w:eastAsia="仿宋_GB2312" w:cs="仿宋_GB2312"/>
          <w:sz w:val="24"/>
          <w:lang w:val="en-US" w:eastAsia="zh-CN"/>
        </w:rPr>
        <w:t>若采购人新增维护面积，供应商应完成所交办的维护内容，但成交价格不变</w:t>
      </w:r>
      <w:r>
        <w:rPr>
          <w:rFonts w:ascii="仿宋_GB2312" w:hAnsi="仿宋_GB2312" w:eastAsia="仿宋_GB2312" w:cs="仿宋_GB2312"/>
          <w:sz w:val="24"/>
        </w:rPr>
        <w:t>。</w:t>
      </w:r>
    </w:p>
    <w:p w14:paraId="5A206CBA">
      <w:pPr>
        <w:pStyle w:val="4"/>
        <w:jc w:val="both"/>
      </w:pPr>
      <w:r>
        <w:rPr>
          <w:rFonts w:ascii="仿宋_GB2312" w:hAnsi="仿宋_GB2312" w:eastAsia="仿宋_GB2312" w:cs="仿宋_GB2312"/>
          <w:b/>
          <w:sz w:val="28"/>
        </w:rPr>
        <w:t>（二）采购服务要求</w:t>
      </w:r>
    </w:p>
    <w:p w14:paraId="20F1D13A">
      <w:pPr>
        <w:pStyle w:val="4"/>
        <w:ind w:firstLine="480"/>
        <w:jc w:val="both"/>
      </w:pPr>
      <w:r>
        <w:rPr>
          <w:rFonts w:ascii="仿宋_GB2312" w:hAnsi="仿宋_GB2312" w:eastAsia="仿宋_GB2312" w:cs="仿宋_GB2312"/>
          <w:sz w:val="24"/>
        </w:rPr>
        <w:t>1.供应商所提供的车辆、机械设备、机上驾驶、操作人员均须具备国家、行业及施工现场当地法律法规规定的相关合法证照，能确保合法使用，并按照法律规定对车辆、设备、机上人员购买相关保险；服务期间，车辆和机械设备发生故障或事故（包括第三者责任事故）的，均由成交人负责，与采购人无关；同时，成交人须及时采取应急措施派遣替换车辆和设备继续完成服务。（单独提供承诺函）</w:t>
      </w:r>
    </w:p>
    <w:p w14:paraId="2336FA8D">
      <w:pPr>
        <w:pStyle w:val="4"/>
        <w:ind w:firstLine="480"/>
        <w:jc w:val="both"/>
      </w:pPr>
      <w:r>
        <w:rPr>
          <w:rFonts w:ascii="仿宋_GB2312" w:hAnsi="仿宋_GB2312" w:eastAsia="仿宋_GB2312" w:cs="仿宋_GB2312"/>
          <w:sz w:val="24"/>
        </w:rPr>
        <w:t>2.车辆操作人员需提供相应的符合国家规范要求的有效期内的驾驶证或特种作业操作证复印件。若未提供或与核实信息不符的，采购人有权拒绝签订采购合同，相关责任全部由供应商承担。</w:t>
      </w:r>
    </w:p>
    <w:p w14:paraId="465B2961">
      <w:pPr>
        <w:pStyle w:val="4"/>
        <w:ind w:firstLine="480"/>
        <w:jc w:val="both"/>
      </w:pPr>
      <w:r>
        <w:rPr>
          <w:rFonts w:ascii="仿宋_GB2312" w:hAnsi="仿宋_GB2312" w:eastAsia="仿宋_GB2312" w:cs="仿宋_GB2312"/>
          <w:sz w:val="24"/>
        </w:rPr>
        <w:t>3.供应商应对所有服务人员和车辆、机械在途中、作业期间所发生的一切人生安全，意外事故负责，即供应商所派服务人员及车辆、机械安全问题和意外安全事故均与采购人无关。（单独提供承诺函）</w:t>
      </w:r>
    </w:p>
    <w:p w14:paraId="3F8804DF">
      <w:pPr>
        <w:pStyle w:val="4"/>
        <w:ind w:firstLine="480"/>
        <w:jc w:val="both"/>
      </w:pPr>
      <w:r>
        <w:rPr>
          <w:rFonts w:ascii="仿宋_GB2312" w:hAnsi="仿宋_GB2312" w:eastAsia="仿宋_GB2312" w:cs="仿宋_GB2312"/>
          <w:sz w:val="24"/>
        </w:rPr>
        <w:t>4.供应商必须严格按照国家、省、市有关劳动法规和保险条例，为服务人员提供劳动权益保障，且购买作业人员的养老保险、医疗保险、失业保险、工伤保险、生育保险和必要的工伤类商业保险。若是租赁设备所配备的人员，出租设备的单位应为相关作业人员购买前述规定的保险。任何与社会劳动保障方面的纠纷与采购人无关。供应商所派服务人员只与供应商产生劳动合同关系，其发生的劳动争议、工伤、工亡等责任，均由供应商负责。</w:t>
      </w:r>
    </w:p>
    <w:p w14:paraId="3904D64C">
      <w:pPr>
        <w:pStyle w:val="4"/>
        <w:ind w:firstLine="480"/>
        <w:jc w:val="both"/>
      </w:pPr>
      <w:r>
        <w:rPr>
          <w:rFonts w:ascii="仿宋_GB2312" w:hAnsi="仿宋_GB2312" w:eastAsia="仿宋_GB2312" w:cs="仿宋_GB2312"/>
          <w:sz w:val="24"/>
        </w:rPr>
        <w:t>5.车辆载物不得违反超宽、超长、超限、道路污染等要求，由此造成的损失由供应商自行承担。</w:t>
      </w:r>
    </w:p>
    <w:p w14:paraId="47D36A4E">
      <w:pPr>
        <w:pStyle w:val="4"/>
        <w:ind w:firstLine="480"/>
        <w:jc w:val="both"/>
        <w:rPr>
          <w:rFonts w:ascii="仿宋_GB2312" w:hAnsi="仿宋_GB2312" w:eastAsia="仿宋_GB2312" w:cs="仿宋_GB2312"/>
          <w:sz w:val="24"/>
        </w:rPr>
      </w:pPr>
      <w:r>
        <w:rPr>
          <w:rFonts w:ascii="仿宋_GB2312" w:hAnsi="仿宋_GB2312" w:eastAsia="仿宋_GB2312" w:cs="仿宋_GB2312"/>
          <w:sz w:val="24"/>
        </w:rPr>
        <w:t>6.如遇员工因劳务纠纷而发生消极怠工、缺岗等不利于采购人的行为，所产生的一切损失均由供应商全权负责。</w:t>
      </w:r>
    </w:p>
    <w:p w14:paraId="4E388DD2">
      <w:pPr>
        <w:pStyle w:val="4"/>
        <w:ind w:firstLine="480"/>
        <w:jc w:val="both"/>
        <w:rPr>
          <w:rFonts w:ascii="仿宋_GB2312" w:hAnsi="仿宋_GB2312" w:eastAsia="仿宋_GB2312" w:cs="仿宋_GB2312"/>
          <w:sz w:val="24"/>
        </w:rPr>
      </w:pPr>
      <w:r>
        <w:rPr>
          <w:rFonts w:ascii="仿宋_GB2312" w:hAnsi="仿宋_GB2312" w:eastAsia="仿宋_GB2312" w:cs="仿宋_GB2312"/>
          <w:sz w:val="24"/>
        </w:rPr>
        <w:t>7.采购人对投标人进行月考核，投标人就日常维护等工作办理不到位的，采购人将要求投标人限期整改，整改期间采购人有权不支付服务费，待整改结束在向投标人支付，连续一个月整改不到位的，采购人有权终止合同。</w:t>
      </w:r>
    </w:p>
    <w:p w14:paraId="6F4A558D">
      <w:pPr>
        <w:pStyle w:val="4"/>
        <w:ind w:firstLine="480"/>
        <w:jc w:val="both"/>
        <w:rPr>
          <w:rFonts w:ascii="仿宋_GB2312" w:hAnsi="仿宋_GB2312" w:eastAsia="仿宋_GB2312" w:cs="仿宋_GB2312"/>
          <w:sz w:val="24"/>
        </w:rPr>
      </w:pPr>
      <w:r>
        <w:rPr>
          <w:rFonts w:hint="eastAsia" w:ascii="仿宋_GB2312" w:hAnsi="仿宋_GB2312" w:eastAsia="仿宋_GB2312" w:cs="仿宋_GB2312"/>
          <w:sz w:val="24"/>
          <w:lang w:val="en-US" w:eastAsia="zh-CN"/>
        </w:rPr>
        <w:t>8.</w:t>
      </w:r>
      <w:r>
        <w:rPr>
          <w:rFonts w:ascii="仿宋_GB2312" w:hAnsi="仿宋_GB2312" w:eastAsia="仿宋_GB2312" w:cs="仿宋_GB2312"/>
          <w:sz w:val="24"/>
        </w:rPr>
        <w:t>考虑大英县人口分布情况、城区需要绿化维护范围面积、城区路灯及设施设备等情况，项目实施后预计效果等各项因素配置设备及绿化、路灯作业人员。</w:t>
      </w:r>
    </w:p>
    <w:p w14:paraId="444F87FE">
      <w:pPr>
        <w:pStyle w:val="4"/>
        <w:ind w:firstLine="480"/>
        <w:jc w:val="both"/>
        <w:rPr>
          <w:rFonts w:ascii="仿宋_GB2312" w:hAnsi="仿宋_GB2312" w:eastAsia="仿宋_GB2312" w:cs="仿宋_GB2312"/>
          <w:sz w:val="24"/>
        </w:rPr>
      </w:pPr>
      <w:r>
        <w:rPr>
          <w:rFonts w:hint="eastAsia" w:ascii="仿宋_GB2312" w:hAnsi="仿宋_GB2312" w:eastAsia="仿宋_GB2312" w:cs="仿宋_GB2312"/>
          <w:sz w:val="24"/>
          <w:lang w:val="en-US" w:eastAsia="zh-CN"/>
        </w:rPr>
        <w:t>9.供应商应配置不少于以下要求的</w:t>
      </w:r>
      <w:r>
        <w:rPr>
          <w:rFonts w:ascii="仿宋_GB2312" w:hAnsi="仿宋_GB2312" w:eastAsia="仿宋_GB2312" w:cs="仿宋_GB2312"/>
          <w:sz w:val="24"/>
        </w:rPr>
        <w:t>设施</w:t>
      </w:r>
      <w:r>
        <w:rPr>
          <w:rFonts w:hint="eastAsia" w:ascii="仿宋_GB2312" w:hAnsi="仿宋_GB2312" w:eastAsia="仿宋_GB2312" w:cs="仿宋_GB2312"/>
          <w:sz w:val="24"/>
          <w:lang w:val="en-US" w:eastAsia="zh-CN"/>
        </w:rPr>
        <w:t>设备</w:t>
      </w:r>
      <w:r>
        <w:rPr>
          <w:rFonts w:ascii="仿宋_GB2312" w:hAnsi="仿宋_GB2312" w:eastAsia="仿宋_GB2312" w:cs="仿宋_GB2312"/>
          <w:sz w:val="24"/>
        </w:rPr>
        <w:t>：</w:t>
      </w:r>
      <w:r>
        <w:rPr>
          <w:rFonts w:hint="eastAsia" w:ascii="仿宋_GB2312" w:hAnsi="仿宋_GB2312" w:eastAsia="仿宋_GB2312" w:cs="仿宋_GB2312"/>
          <w:sz w:val="24"/>
          <w:lang w:val="en-US" w:eastAsia="zh-CN"/>
        </w:rPr>
        <w:t>应配置</w:t>
      </w:r>
      <w:r>
        <w:rPr>
          <w:rFonts w:ascii="仿宋_GB2312" w:hAnsi="仿宋_GB2312" w:eastAsia="仿宋_GB2312" w:cs="仿宋_GB2312"/>
          <w:sz w:val="24"/>
        </w:rPr>
        <w:t>城区洒水车不少于3辆，剪草机8台、绿篱机8台、农药喷洒车3台、清理园林垃圾车1辆、巡查车1辆。</w:t>
      </w:r>
    </w:p>
    <w:p w14:paraId="17231168">
      <w:pPr>
        <w:pStyle w:val="4"/>
        <w:ind w:firstLine="480"/>
        <w:jc w:val="both"/>
        <w:rPr>
          <w:rFonts w:ascii="仿宋_GB2312" w:hAnsi="仿宋_GB2312" w:eastAsia="仿宋_GB2312" w:cs="仿宋_GB2312"/>
          <w:sz w:val="24"/>
        </w:rPr>
      </w:pPr>
      <w:r>
        <w:rPr>
          <w:rFonts w:hint="eastAsia" w:ascii="仿宋_GB2312" w:hAnsi="仿宋_GB2312" w:eastAsia="仿宋_GB2312" w:cs="仿宋_GB2312"/>
          <w:sz w:val="24"/>
          <w:lang w:val="en-US" w:eastAsia="zh-CN"/>
        </w:rPr>
        <w:t>10.供应商应配置不少于以下要求的</w:t>
      </w:r>
      <w:r>
        <w:rPr>
          <w:rFonts w:ascii="仿宋_GB2312" w:hAnsi="仿宋_GB2312" w:eastAsia="仿宋_GB2312" w:cs="仿宋_GB2312"/>
          <w:sz w:val="24"/>
        </w:rPr>
        <w:t>人员配置：绿化维护65人，其中：管理人员1人、绿化维护人员60人、驾驶员4人。路灯维护6人，驾驶员1人、路灯及其他设备维护5人。</w:t>
      </w:r>
    </w:p>
    <w:p w14:paraId="4422294A">
      <w:pPr>
        <w:pStyle w:val="4"/>
        <w:jc w:val="left"/>
        <w:rPr>
          <w:sz w:val="28"/>
          <w:szCs w:val="28"/>
        </w:rPr>
      </w:pPr>
      <w:r>
        <w:rPr>
          <w:rFonts w:ascii="仿宋_GB2312" w:hAnsi="仿宋_GB2312" w:eastAsia="仿宋_GB2312" w:cs="仿宋_GB2312"/>
          <w:sz w:val="28"/>
          <w:szCs w:val="28"/>
        </w:rPr>
        <w:t>附件</w:t>
      </w:r>
    </w:p>
    <w:p w14:paraId="1A8BE145">
      <w:pPr>
        <w:pStyle w:val="4"/>
        <w:spacing w:before="105" w:after="105"/>
        <w:jc w:val="center"/>
        <w:rPr>
          <w:sz w:val="28"/>
          <w:szCs w:val="28"/>
        </w:rPr>
      </w:pPr>
      <w:r>
        <w:rPr>
          <w:rFonts w:ascii="仿宋_GB2312" w:hAnsi="仿宋_GB2312" w:eastAsia="仿宋_GB2312" w:cs="仿宋_GB2312"/>
          <w:sz w:val="28"/>
          <w:szCs w:val="28"/>
        </w:rPr>
        <w:t>大英县绿化、路灯作业月考核评分表</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40"/>
        <w:gridCol w:w="962"/>
        <w:gridCol w:w="2359"/>
        <w:gridCol w:w="325"/>
        <w:gridCol w:w="1167"/>
        <w:gridCol w:w="278"/>
      </w:tblGrid>
      <w:tr w14:paraId="1768D0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23"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D20ED51">
            <w:pPr>
              <w:pStyle w:val="4"/>
              <w:jc w:val="center"/>
            </w:pPr>
            <w:r>
              <w:rPr>
                <w:rFonts w:ascii="仿宋_GB2312" w:hAnsi="仿宋_GB2312" w:eastAsia="仿宋_GB2312" w:cs="仿宋_GB2312"/>
                <w:sz w:val="24"/>
              </w:rPr>
              <w:t>项目</w:t>
            </w:r>
          </w:p>
        </w:tc>
        <w:tc>
          <w:tcPr>
            <w:tcW w:w="2359"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A5F0BA5">
            <w:pPr>
              <w:pStyle w:val="4"/>
              <w:jc w:val="center"/>
            </w:pPr>
            <w:r>
              <w:rPr>
                <w:rFonts w:ascii="仿宋_GB2312" w:hAnsi="仿宋_GB2312" w:eastAsia="仿宋_GB2312" w:cs="仿宋_GB2312"/>
                <w:sz w:val="24"/>
              </w:rPr>
              <w:t>检查方法及评价依据</w:t>
            </w:r>
          </w:p>
        </w:tc>
        <w:tc>
          <w:tcPr>
            <w:tcW w:w="270"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AF7294D">
            <w:pPr>
              <w:pStyle w:val="4"/>
              <w:jc w:val="center"/>
            </w:pPr>
            <w:r>
              <w:rPr>
                <w:rFonts w:ascii="仿宋_GB2312" w:hAnsi="仿宋_GB2312" w:eastAsia="仿宋_GB2312" w:cs="仿宋_GB2312"/>
                <w:sz w:val="24"/>
              </w:rPr>
              <w:t>分值</w:t>
            </w:r>
          </w:p>
        </w:tc>
        <w:tc>
          <w:tcPr>
            <w:tcW w:w="1167"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D8E3DAE">
            <w:pPr>
              <w:pStyle w:val="4"/>
              <w:jc w:val="center"/>
            </w:pPr>
            <w:r>
              <w:rPr>
                <w:rFonts w:ascii="仿宋_GB2312" w:hAnsi="仿宋_GB2312" w:eastAsia="仿宋_GB2312" w:cs="仿宋_GB2312"/>
                <w:sz w:val="24"/>
              </w:rPr>
              <w:t>评价扣分规定</w:t>
            </w:r>
          </w:p>
        </w:tc>
        <w:tc>
          <w:tcPr>
            <w:tcW w:w="27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4C6E1B6">
            <w:pPr>
              <w:pStyle w:val="4"/>
              <w:jc w:val="center"/>
            </w:pPr>
            <w:r>
              <w:rPr>
                <w:rFonts w:ascii="仿宋_GB2312" w:hAnsi="仿宋_GB2312" w:eastAsia="仿宋_GB2312" w:cs="仿宋_GB2312"/>
                <w:sz w:val="24"/>
              </w:rPr>
              <w:t>得分</w:t>
            </w:r>
          </w:p>
        </w:tc>
      </w:tr>
      <w:tr w14:paraId="3FF8B0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394366">
            <w:pPr>
              <w:pStyle w:val="4"/>
              <w:jc w:val="center"/>
            </w:pPr>
            <w:r>
              <w:rPr>
                <w:rFonts w:ascii="仿宋_GB2312" w:hAnsi="仿宋_GB2312" w:eastAsia="仿宋_GB2312" w:cs="仿宋_GB2312"/>
                <w:sz w:val="21"/>
              </w:rPr>
              <w:t>公司管理</w:t>
            </w:r>
          </w:p>
          <w:p w14:paraId="5884FD03">
            <w:pPr>
              <w:pStyle w:val="4"/>
              <w:jc w:val="center"/>
            </w:pPr>
            <w:r>
              <w:rPr>
                <w:rFonts w:ascii="仿宋_GB2312" w:hAnsi="仿宋_GB2312" w:eastAsia="仿宋_GB2312" w:cs="仿宋_GB2312"/>
                <w:sz w:val="21"/>
              </w:rPr>
              <w:t>（15分）</w:t>
            </w:r>
          </w:p>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2BFBB393">
            <w:pPr>
              <w:pStyle w:val="4"/>
              <w:jc w:val="center"/>
            </w:pPr>
            <w:r>
              <w:rPr>
                <w:rFonts w:ascii="仿宋_GB2312" w:hAnsi="仿宋_GB2312" w:eastAsia="仿宋_GB2312" w:cs="仿宋_GB2312"/>
                <w:sz w:val="21"/>
              </w:rPr>
              <w:t>办公条件</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301660DA">
            <w:pPr>
              <w:pStyle w:val="4"/>
              <w:jc w:val="both"/>
            </w:pPr>
            <w:r>
              <w:rPr>
                <w:rFonts w:ascii="仿宋_GB2312" w:hAnsi="仿宋_GB2312" w:eastAsia="仿宋_GB2312" w:cs="仿宋_GB2312"/>
                <w:sz w:val="21"/>
              </w:rPr>
              <w:t>在大英县城区有一个固定办公地点，集中管理。</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217B2960">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34F41F2">
            <w:pPr>
              <w:pStyle w:val="4"/>
              <w:jc w:val="both"/>
            </w:pPr>
            <w:r>
              <w:rPr>
                <w:rFonts w:ascii="仿宋_GB2312" w:hAnsi="仿宋_GB2312" w:eastAsia="仿宋_GB2312" w:cs="仿宋_GB2312"/>
                <w:sz w:val="21"/>
              </w:rPr>
              <w:t>未达到要求扣1分</w:t>
            </w:r>
          </w:p>
        </w:tc>
        <w:tc>
          <w:tcPr>
            <w:tcW w:w="278" w:type="dxa"/>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5B01C93">
            <w:pPr>
              <w:pStyle w:val="4"/>
              <w:jc w:val="both"/>
            </w:pPr>
          </w:p>
        </w:tc>
      </w:tr>
      <w:tr w14:paraId="1BBF7C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7802019D"/>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39AE1411">
            <w:pPr>
              <w:pStyle w:val="4"/>
              <w:jc w:val="center"/>
            </w:pPr>
            <w:r>
              <w:rPr>
                <w:rFonts w:ascii="仿宋_GB2312" w:hAnsi="仿宋_GB2312" w:eastAsia="仿宋_GB2312" w:cs="仿宋_GB2312"/>
                <w:sz w:val="21"/>
              </w:rPr>
              <w:t>人员设备</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40E6DFC4">
            <w:pPr>
              <w:pStyle w:val="4"/>
              <w:jc w:val="both"/>
            </w:pPr>
            <w:r>
              <w:rPr>
                <w:rFonts w:ascii="仿宋_GB2312" w:hAnsi="仿宋_GB2312" w:eastAsia="仿宋_GB2312" w:cs="仿宋_GB2312"/>
                <w:sz w:val="21"/>
              </w:rPr>
              <w:t>按合同要求配备管理人员、巡查设施。</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1DCB272D">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4942D906">
            <w:pPr>
              <w:pStyle w:val="4"/>
              <w:jc w:val="both"/>
            </w:pPr>
            <w:r>
              <w:rPr>
                <w:rFonts w:ascii="仿宋_GB2312" w:hAnsi="仿宋_GB2312" w:eastAsia="仿宋_GB2312" w:cs="仿宋_GB2312"/>
                <w:sz w:val="21"/>
              </w:rPr>
              <w:t>未达到要求扣1分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0B9B05DB">
            <w:pPr>
              <w:pStyle w:val="4"/>
              <w:jc w:val="both"/>
            </w:pPr>
          </w:p>
        </w:tc>
      </w:tr>
      <w:tr w14:paraId="30C072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2AD8D15E"/>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3410E4DA">
            <w:pPr>
              <w:pStyle w:val="4"/>
              <w:jc w:val="center"/>
            </w:pPr>
            <w:r>
              <w:rPr>
                <w:rFonts w:ascii="仿宋_GB2312" w:hAnsi="仿宋_GB2312" w:eastAsia="仿宋_GB2312" w:cs="仿宋_GB2312"/>
                <w:sz w:val="21"/>
              </w:rPr>
              <w:t>绿化、路灯维护设施</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74E63D82">
            <w:pPr>
              <w:pStyle w:val="4"/>
              <w:jc w:val="both"/>
            </w:pPr>
            <w:r>
              <w:rPr>
                <w:rFonts w:ascii="仿宋_GB2312" w:hAnsi="仿宋_GB2312" w:eastAsia="仿宋_GB2312" w:cs="仿宋_GB2312"/>
                <w:sz w:val="21"/>
              </w:rPr>
              <w:t>维护工具、设备配备齐全、符合要求。</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5E252F0D">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0FED6644">
            <w:pPr>
              <w:pStyle w:val="4"/>
              <w:jc w:val="both"/>
            </w:pPr>
            <w:r>
              <w:rPr>
                <w:rFonts w:ascii="仿宋_GB2312" w:hAnsi="仿宋_GB2312" w:eastAsia="仿宋_GB2312" w:cs="仿宋_GB2312"/>
                <w:sz w:val="21"/>
              </w:rPr>
              <w:t>未达到要求扣1分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FCDE3FC">
            <w:pPr>
              <w:pStyle w:val="4"/>
              <w:jc w:val="both"/>
            </w:pPr>
          </w:p>
        </w:tc>
      </w:tr>
      <w:tr w14:paraId="52CBDA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6A448B95"/>
        </w:tc>
        <w:tc>
          <w:tcPr>
            <w:tcW w:w="96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46C7E1C1">
            <w:pPr>
              <w:pStyle w:val="4"/>
              <w:jc w:val="center"/>
            </w:pPr>
            <w:r>
              <w:rPr>
                <w:rFonts w:ascii="仿宋_GB2312" w:hAnsi="仿宋_GB2312" w:eastAsia="仿宋_GB2312" w:cs="仿宋_GB2312"/>
                <w:sz w:val="21"/>
              </w:rPr>
              <w:t>规范管理</w:t>
            </w:r>
          </w:p>
          <w:p w14:paraId="3C2DC779">
            <w:pPr>
              <w:pStyle w:val="4"/>
              <w:jc w:val="center"/>
            </w:pPr>
            <w:r>
              <w:rPr>
                <w:rFonts w:ascii="仿宋_GB2312" w:hAnsi="仿宋_GB2312" w:eastAsia="仿宋_GB2312" w:cs="仿宋_GB2312"/>
                <w:sz w:val="21"/>
              </w:rPr>
              <w:t>（12分）</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7345F6A3">
            <w:pPr>
              <w:pStyle w:val="4"/>
              <w:jc w:val="both"/>
            </w:pPr>
            <w:r>
              <w:rPr>
                <w:rFonts w:ascii="仿宋_GB2312" w:hAnsi="仿宋_GB2312" w:eastAsia="仿宋_GB2312" w:cs="仿宋_GB2312"/>
                <w:sz w:val="21"/>
              </w:rPr>
              <w:t>各项管理制度健全、管理制度上墙。</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2557865">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35A40E0D">
            <w:pPr>
              <w:pStyle w:val="4"/>
              <w:jc w:val="both"/>
            </w:pPr>
            <w:r>
              <w:rPr>
                <w:rFonts w:ascii="仿宋_GB2312" w:hAnsi="仿宋_GB2312" w:eastAsia="仿宋_GB2312" w:cs="仿宋_GB2312"/>
                <w:sz w:val="21"/>
              </w:rPr>
              <w:t>未达到要求扣0.5分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3B73818C">
            <w:pPr>
              <w:pStyle w:val="4"/>
              <w:jc w:val="both"/>
            </w:pPr>
          </w:p>
        </w:tc>
      </w:tr>
      <w:tr w14:paraId="0E614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2E9E2394"/>
        </w:tc>
        <w:tc>
          <w:tcPr>
            <w:tcW w:w="962" w:type="dxa"/>
            <w:vMerge w:val="continue"/>
            <w:tcBorders>
              <w:top w:val="nil"/>
              <w:left w:val="nil"/>
              <w:bottom w:val="single" w:color="000000" w:sz="4" w:space="0"/>
              <w:right w:val="single" w:color="000000" w:sz="4" w:space="0"/>
            </w:tcBorders>
          </w:tcPr>
          <w:p w14:paraId="75F49D28"/>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76EDF330">
            <w:pPr>
              <w:pStyle w:val="4"/>
              <w:jc w:val="both"/>
            </w:pPr>
            <w:r>
              <w:rPr>
                <w:rFonts w:ascii="仿宋_GB2312" w:hAnsi="仿宋_GB2312" w:eastAsia="仿宋_GB2312" w:cs="仿宋_GB2312"/>
                <w:sz w:val="21"/>
              </w:rPr>
              <w:t>管理人员现场检查到位，检查日志完整。</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79795671">
            <w:pPr>
              <w:pStyle w:val="4"/>
              <w:jc w:val="center"/>
            </w:pPr>
            <w:r>
              <w:rPr>
                <w:rFonts w:ascii="仿宋_GB2312" w:hAnsi="仿宋_GB2312" w:eastAsia="仿宋_GB2312" w:cs="仿宋_GB2312"/>
                <w:sz w:val="21"/>
              </w:rPr>
              <w:t>0.5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A157721">
            <w:pPr>
              <w:pStyle w:val="4"/>
              <w:jc w:val="both"/>
            </w:pPr>
            <w:r>
              <w:rPr>
                <w:rFonts w:ascii="仿宋_GB2312" w:hAnsi="仿宋_GB2312" w:eastAsia="仿宋_GB2312" w:cs="仿宋_GB2312"/>
                <w:sz w:val="21"/>
              </w:rPr>
              <w:t>未达到要求扣0.5分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24CEF804">
            <w:pPr>
              <w:pStyle w:val="4"/>
              <w:jc w:val="both"/>
            </w:pPr>
          </w:p>
        </w:tc>
      </w:tr>
      <w:tr w14:paraId="0B1CCE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7B6225FF"/>
        </w:tc>
        <w:tc>
          <w:tcPr>
            <w:tcW w:w="962" w:type="dxa"/>
            <w:vMerge w:val="continue"/>
            <w:tcBorders>
              <w:top w:val="nil"/>
              <w:left w:val="nil"/>
              <w:bottom w:val="single" w:color="000000" w:sz="4" w:space="0"/>
              <w:right w:val="single" w:color="000000" w:sz="4" w:space="0"/>
            </w:tcBorders>
          </w:tcPr>
          <w:p w14:paraId="5A0D2209"/>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25EB3B8">
            <w:pPr>
              <w:pStyle w:val="4"/>
              <w:jc w:val="both"/>
            </w:pPr>
            <w:r>
              <w:rPr>
                <w:rFonts w:ascii="仿宋_GB2312" w:hAnsi="仿宋_GB2312" w:eastAsia="仿宋_GB2312" w:cs="仿宋_GB2312"/>
                <w:sz w:val="21"/>
              </w:rPr>
              <w:t>管理人员挂牌上岗。</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2724B2F5">
            <w:pPr>
              <w:pStyle w:val="4"/>
              <w:jc w:val="center"/>
            </w:pPr>
            <w:r>
              <w:rPr>
                <w:rFonts w:ascii="仿宋_GB2312" w:hAnsi="仿宋_GB2312" w:eastAsia="仿宋_GB2312" w:cs="仿宋_GB2312"/>
                <w:sz w:val="21"/>
              </w:rPr>
              <w:t>0.5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27D25225">
            <w:pPr>
              <w:pStyle w:val="4"/>
              <w:jc w:val="both"/>
            </w:pPr>
            <w:r>
              <w:rPr>
                <w:rFonts w:ascii="仿宋_GB2312" w:hAnsi="仿宋_GB2312" w:eastAsia="仿宋_GB2312" w:cs="仿宋_GB2312"/>
                <w:sz w:val="21"/>
              </w:rPr>
              <w:t>未达到要求扣0.5分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3CFABB8">
            <w:pPr>
              <w:pStyle w:val="4"/>
              <w:jc w:val="both"/>
            </w:pPr>
          </w:p>
        </w:tc>
      </w:tr>
      <w:tr w14:paraId="09541D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49673577"/>
        </w:tc>
        <w:tc>
          <w:tcPr>
            <w:tcW w:w="962" w:type="dxa"/>
            <w:vMerge w:val="continue"/>
            <w:tcBorders>
              <w:top w:val="nil"/>
              <w:left w:val="nil"/>
              <w:bottom w:val="single" w:color="000000" w:sz="4" w:space="0"/>
              <w:right w:val="single" w:color="000000" w:sz="4" w:space="0"/>
            </w:tcBorders>
          </w:tcPr>
          <w:p w14:paraId="111E082C"/>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56E2A9AD">
            <w:pPr>
              <w:pStyle w:val="4"/>
              <w:jc w:val="both"/>
            </w:pPr>
            <w:r>
              <w:rPr>
                <w:rFonts w:ascii="仿宋_GB2312" w:hAnsi="仿宋_GB2312" w:eastAsia="仿宋_GB2312" w:cs="仿宋_GB2312"/>
                <w:sz w:val="21"/>
              </w:rPr>
              <w:t>按要求购买从业人员社会保险，从业人员月工资不得低于遂宁市人民政府公布的本地最低工资标准。</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1CA940F0">
            <w:pPr>
              <w:pStyle w:val="4"/>
              <w:jc w:val="center"/>
            </w:pPr>
            <w:r>
              <w:rPr>
                <w:rFonts w:ascii="仿宋_GB2312" w:hAnsi="仿宋_GB2312" w:eastAsia="仿宋_GB2312" w:cs="仿宋_GB2312"/>
                <w:sz w:val="21"/>
              </w:rPr>
              <w:t>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2948106A">
            <w:pPr>
              <w:pStyle w:val="4"/>
              <w:jc w:val="both"/>
            </w:pPr>
            <w:r>
              <w:rPr>
                <w:rFonts w:ascii="仿宋_GB2312" w:hAnsi="仿宋_GB2312" w:eastAsia="仿宋_GB2312" w:cs="仿宋_GB2312"/>
                <w:sz w:val="21"/>
              </w:rPr>
              <w:t>任意一项未达到要求扣5分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28E01AD4">
            <w:pPr>
              <w:pStyle w:val="4"/>
              <w:jc w:val="both"/>
            </w:pPr>
          </w:p>
        </w:tc>
      </w:tr>
      <w:tr w14:paraId="72F40F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70D31A99"/>
        </w:tc>
        <w:tc>
          <w:tcPr>
            <w:tcW w:w="962" w:type="dxa"/>
            <w:vMerge w:val="continue"/>
            <w:tcBorders>
              <w:top w:val="nil"/>
              <w:left w:val="nil"/>
              <w:bottom w:val="single" w:color="000000" w:sz="4" w:space="0"/>
              <w:right w:val="single" w:color="000000" w:sz="4" w:space="0"/>
            </w:tcBorders>
          </w:tcPr>
          <w:p w14:paraId="224C1CFD"/>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285A2BF7">
            <w:pPr>
              <w:pStyle w:val="4"/>
              <w:jc w:val="both"/>
            </w:pPr>
            <w:r>
              <w:rPr>
                <w:rFonts w:ascii="仿宋_GB2312" w:hAnsi="仿宋_GB2312" w:eastAsia="仿宋_GB2312" w:cs="仿宋_GB2312"/>
                <w:sz w:val="21"/>
              </w:rPr>
              <w:t>因公司管理不善，导致作业人员信访举报投诉。</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4F35673E">
            <w:pPr>
              <w:pStyle w:val="4"/>
              <w:jc w:val="center"/>
            </w:pPr>
            <w:r>
              <w:rPr>
                <w:rFonts w:ascii="仿宋_GB2312" w:hAnsi="仿宋_GB2312" w:eastAsia="仿宋_GB2312" w:cs="仿宋_GB2312"/>
                <w:sz w:val="21"/>
              </w:rPr>
              <w:t>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0CF6AEFA">
            <w:pPr>
              <w:pStyle w:val="4"/>
              <w:jc w:val="both"/>
            </w:pPr>
            <w:r>
              <w:rPr>
                <w:rFonts w:ascii="仿宋_GB2312" w:hAnsi="仿宋_GB2312" w:eastAsia="仿宋_GB2312" w:cs="仿宋_GB2312"/>
                <w:sz w:val="21"/>
              </w:rPr>
              <w:t>查证属实一次扣1分，造成集体上访扣5分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21FE5908">
            <w:pPr>
              <w:pStyle w:val="4"/>
              <w:jc w:val="both"/>
            </w:pPr>
          </w:p>
        </w:tc>
      </w:tr>
      <w:tr w14:paraId="79C369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75CB90">
            <w:pPr>
              <w:pStyle w:val="4"/>
              <w:jc w:val="center"/>
            </w:pPr>
            <w:r>
              <w:rPr>
                <w:rFonts w:ascii="仿宋_GB2312" w:hAnsi="仿宋_GB2312" w:eastAsia="仿宋_GB2312" w:cs="仿宋_GB2312"/>
                <w:sz w:val="21"/>
              </w:rPr>
              <w:t>作业管理</w:t>
            </w:r>
          </w:p>
          <w:p w14:paraId="1FB095CB">
            <w:pPr>
              <w:pStyle w:val="4"/>
              <w:jc w:val="both"/>
            </w:pPr>
            <w:r>
              <w:rPr>
                <w:rFonts w:ascii="仿宋_GB2312" w:hAnsi="仿宋_GB2312" w:eastAsia="仿宋_GB2312" w:cs="仿宋_GB2312"/>
                <w:sz w:val="21"/>
              </w:rPr>
              <w:t>（50分）</w:t>
            </w:r>
          </w:p>
          <w:p w14:paraId="4C9D4B9A">
            <w:pPr>
              <w:pStyle w:val="4"/>
              <w:jc w:val="center"/>
            </w:pPr>
          </w:p>
        </w:tc>
        <w:tc>
          <w:tcPr>
            <w:tcW w:w="96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01F5D20A">
            <w:pPr>
              <w:pStyle w:val="4"/>
              <w:jc w:val="center"/>
            </w:pPr>
            <w:r>
              <w:rPr>
                <w:rFonts w:ascii="仿宋_GB2312" w:hAnsi="仿宋_GB2312" w:eastAsia="仿宋_GB2312" w:cs="仿宋_GB2312"/>
                <w:sz w:val="21"/>
              </w:rPr>
              <w:t>作业人员管</w:t>
            </w:r>
          </w:p>
          <w:p w14:paraId="32D62FE7">
            <w:pPr>
              <w:pStyle w:val="4"/>
              <w:jc w:val="both"/>
            </w:pPr>
            <w:r>
              <w:rPr>
                <w:rFonts w:ascii="仿宋_GB2312" w:hAnsi="仿宋_GB2312" w:eastAsia="仿宋_GB2312" w:cs="仿宋_GB2312"/>
                <w:sz w:val="21"/>
              </w:rPr>
              <w:t>理（5分）</w:t>
            </w:r>
          </w:p>
          <w:p w14:paraId="7EE6FBF9">
            <w:pPr>
              <w:pStyle w:val="4"/>
              <w:jc w:val="center"/>
            </w:pP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53C720B">
            <w:pPr>
              <w:pStyle w:val="4"/>
              <w:jc w:val="both"/>
            </w:pPr>
            <w:r>
              <w:rPr>
                <w:rFonts w:ascii="仿宋_GB2312" w:hAnsi="仿宋_GB2312" w:eastAsia="仿宋_GB2312" w:cs="仿宋_GB2312"/>
                <w:sz w:val="21"/>
              </w:rPr>
              <w:t>规范着装，在岗履职。</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41C75A43">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2B56D3D">
            <w:pPr>
              <w:pStyle w:val="4"/>
              <w:jc w:val="both"/>
            </w:pPr>
            <w:r>
              <w:rPr>
                <w:rFonts w:ascii="仿宋_GB2312" w:hAnsi="仿宋_GB2312" w:eastAsia="仿宋_GB2312" w:cs="仿宋_GB2312"/>
                <w:sz w:val="21"/>
              </w:rPr>
              <w:t>作业人员未在岗履职扣0.5分；未规范着装、挂牌作业扣0.1分/人（次）</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5239085B">
            <w:pPr>
              <w:pStyle w:val="4"/>
              <w:jc w:val="both"/>
            </w:pPr>
          </w:p>
        </w:tc>
      </w:tr>
      <w:tr w14:paraId="78956E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502544B7"/>
        </w:tc>
        <w:tc>
          <w:tcPr>
            <w:tcW w:w="962" w:type="dxa"/>
            <w:vMerge w:val="continue"/>
            <w:tcBorders>
              <w:top w:val="nil"/>
              <w:left w:val="nil"/>
              <w:bottom w:val="single" w:color="000000" w:sz="4" w:space="0"/>
              <w:right w:val="single" w:color="000000" w:sz="4" w:space="0"/>
            </w:tcBorders>
          </w:tcPr>
          <w:p w14:paraId="5183953D"/>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54D77A22">
            <w:pPr>
              <w:pStyle w:val="4"/>
              <w:jc w:val="both"/>
            </w:pPr>
            <w:r>
              <w:rPr>
                <w:rFonts w:ascii="仿宋_GB2312" w:hAnsi="仿宋_GB2312" w:eastAsia="仿宋_GB2312" w:cs="仿宋_GB2312"/>
                <w:sz w:val="21"/>
              </w:rPr>
              <w:t>按操作规范作业和作业用具规范存放。</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4C4F605">
            <w:pPr>
              <w:pStyle w:val="4"/>
              <w:jc w:val="center"/>
            </w:pPr>
            <w:r>
              <w:rPr>
                <w:rFonts w:ascii="仿宋_GB2312" w:hAnsi="仿宋_GB2312" w:eastAsia="仿宋_GB2312" w:cs="仿宋_GB2312"/>
                <w:sz w:val="21"/>
              </w:rPr>
              <w:t>2</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0B7E8910">
            <w:pPr>
              <w:pStyle w:val="4"/>
              <w:jc w:val="both"/>
            </w:pPr>
            <w:r>
              <w:rPr>
                <w:rFonts w:ascii="仿宋_GB2312" w:hAnsi="仿宋_GB2312" w:eastAsia="仿宋_GB2312" w:cs="仿宋_GB2312"/>
                <w:sz w:val="21"/>
              </w:rPr>
              <w:t>1名作业人员未达要求扣0.1分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4C8616A9">
            <w:pPr>
              <w:pStyle w:val="4"/>
              <w:jc w:val="both"/>
            </w:pPr>
          </w:p>
        </w:tc>
      </w:tr>
      <w:tr w14:paraId="0B724B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4572C1C5"/>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0B43A4AA">
            <w:pPr>
              <w:pStyle w:val="4"/>
              <w:jc w:val="center"/>
            </w:pPr>
            <w:r>
              <w:rPr>
                <w:rFonts w:ascii="仿宋_GB2312" w:hAnsi="仿宋_GB2312" w:eastAsia="仿宋_GB2312" w:cs="仿宋_GB2312"/>
                <w:sz w:val="21"/>
              </w:rPr>
              <w:t>作业时间（5分）</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2750E526">
            <w:pPr>
              <w:pStyle w:val="4"/>
              <w:jc w:val="both"/>
            </w:pPr>
            <w:r>
              <w:rPr>
                <w:rFonts w:ascii="仿宋_GB2312" w:hAnsi="仿宋_GB2312" w:eastAsia="仿宋_GB2312" w:cs="仿宋_GB2312"/>
                <w:sz w:val="21"/>
              </w:rPr>
              <w:t>夏季：6:30-10:30，15:30-20:30；冬季8:00-12:00，14:00-18:00。</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36D4383">
            <w:pPr>
              <w:pStyle w:val="4"/>
              <w:jc w:val="center"/>
            </w:pPr>
            <w:r>
              <w:rPr>
                <w:rFonts w:ascii="仿宋_GB2312" w:hAnsi="仿宋_GB2312" w:eastAsia="仿宋_GB2312" w:cs="仿宋_GB2312"/>
                <w:sz w:val="21"/>
              </w:rPr>
              <w:t>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30580B9">
            <w:pPr>
              <w:pStyle w:val="4"/>
              <w:jc w:val="both"/>
            </w:pPr>
            <w:r>
              <w:rPr>
                <w:rFonts w:ascii="仿宋_GB2312" w:hAnsi="仿宋_GB2312" w:eastAsia="仿宋_GB2312" w:cs="仿宋_GB2312"/>
                <w:sz w:val="21"/>
              </w:rPr>
              <w:t>未按时作业扣1分/次</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51801776">
            <w:pPr>
              <w:pStyle w:val="4"/>
              <w:jc w:val="both"/>
            </w:pPr>
          </w:p>
        </w:tc>
      </w:tr>
      <w:tr w14:paraId="4DEBE3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79925AF5"/>
        </w:tc>
        <w:tc>
          <w:tcPr>
            <w:tcW w:w="96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1BEA1E91">
            <w:pPr>
              <w:pStyle w:val="4"/>
              <w:jc w:val="both"/>
            </w:pPr>
            <w:r>
              <w:rPr>
                <w:rFonts w:ascii="仿宋_GB2312" w:hAnsi="仿宋_GB2312" w:eastAsia="仿宋_GB2312" w:cs="仿宋_GB2312"/>
                <w:sz w:val="21"/>
              </w:rPr>
              <w:t>绿化维护（40分）</w:t>
            </w:r>
          </w:p>
          <w:p w14:paraId="3F331A08">
            <w:pPr>
              <w:pStyle w:val="4"/>
              <w:jc w:val="center"/>
            </w:pP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4BDAF7D6">
            <w:pPr>
              <w:pStyle w:val="4"/>
              <w:jc w:val="both"/>
            </w:pPr>
            <w:r>
              <w:rPr>
                <w:rFonts w:ascii="仿宋_GB2312" w:hAnsi="仿宋_GB2312" w:eastAsia="仿宋_GB2312" w:cs="仿宋_GB2312"/>
                <w:sz w:val="21"/>
              </w:rPr>
              <w:t>树木无明显枯枝、病枝、断枝，修剪规范（枝条分布均匀、不影响行人、设施），通知5日内未整改的。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8A6BAC0">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67A64A9">
            <w:pPr>
              <w:pStyle w:val="4"/>
              <w:jc w:val="both"/>
            </w:pPr>
            <w:r>
              <w:rPr>
                <w:rFonts w:ascii="仿宋_GB2312" w:hAnsi="仿宋_GB2312" w:eastAsia="仿宋_GB2312" w:cs="仿宋_GB2312"/>
                <w:sz w:val="21"/>
              </w:rPr>
              <w:t>发现一处扣0.5分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1FC1B8CA">
            <w:pPr>
              <w:pStyle w:val="4"/>
              <w:jc w:val="both"/>
            </w:pPr>
          </w:p>
        </w:tc>
      </w:tr>
      <w:tr w14:paraId="77E9B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50E8E299"/>
        </w:tc>
        <w:tc>
          <w:tcPr>
            <w:tcW w:w="962" w:type="dxa"/>
            <w:vMerge w:val="continue"/>
            <w:tcBorders>
              <w:top w:val="nil"/>
              <w:left w:val="nil"/>
              <w:bottom w:val="single" w:color="000000" w:sz="4" w:space="0"/>
              <w:right w:val="single" w:color="000000" w:sz="4" w:space="0"/>
            </w:tcBorders>
          </w:tcPr>
          <w:p w14:paraId="774C451B"/>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16C4E0DA">
            <w:pPr>
              <w:pStyle w:val="4"/>
              <w:jc w:val="both"/>
            </w:pPr>
            <w:r>
              <w:rPr>
                <w:rFonts w:ascii="仿宋_GB2312" w:hAnsi="仿宋_GB2312" w:eastAsia="仿宋_GB2312" w:cs="仿宋_GB2312"/>
                <w:sz w:val="21"/>
              </w:rPr>
              <w:t>树木无严重病虫害，如若出现严重病虫害</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2036F5CF">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2CDE6E5E">
            <w:pPr>
              <w:pStyle w:val="4"/>
              <w:jc w:val="both"/>
            </w:pPr>
            <w:r>
              <w:rPr>
                <w:rFonts w:ascii="仿宋_GB2312" w:hAnsi="仿宋_GB2312" w:eastAsia="仿宋_GB2312" w:cs="仿宋_GB2312"/>
                <w:sz w:val="21"/>
              </w:rPr>
              <w:t>发现1次扣0.5分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184D261F">
            <w:pPr>
              <w:pStyle w:val="4"/>
              <w:jc w:val="both"/>
            </w:pPr>
          </w:p>
        </w:tc>
      </w:tr>
      <w:tr w14:paraId="739C76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1A7975EC"/>
        </w:tc>
        <w:tc>
          <w:tcPr>
            <w:tcW w:w="962" w:type="dxa"/>
            <w:vMerge w:val="continue"/>
            <w:tcBorders>
              <w:top w:val="nil"/>
              <w:left w:val="nil"/>
              <w:bottom w:val="single" w:color="000000" w:sz="4" w:space="0"/>
              <w:right w:val="single" w:color="000000" w:sz="4" w:space="0"/>
            </w:tcBorders>
          </w:tcPr>
          <w:p w14:paraId="05B9A011"/>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168FD10C">
            <w:pPr>
              <w:pStyle w:val="4"/>
              <w:jc w:val="both"/>
            </w:pPr>
            <w:r>
              <w:rPr>
                <w:rFonts w:ascii="仿宋_GB2312" w:hAnsi="仿宋_GB2312" w:eastAsia="仿宋_GB2312" w:cs="仿宋_GB2312"/>
                <w:sz w:val="21"/>
              </w:rPr>
              <w:t>树木生长健壮。因缺水、却肥导致生长不良，发现有生长不良情况。</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60DF3DA8">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AC491F3">
            <w:pPr>
              <w:pStyle w:val="4"/>
              <w:jc w:val="both"/>
            </w:pPr>
            <w:r>
              <w:rPr>
                <w:rFonts w:ascii="仿宋_GB2312" w:hAnsi="仿宋_GB2312" w:eastAsia="仿宋_GB2312" w:cs="仿宋_GB2312"/>
                <w:sz w:val="21"/>
              </w:rPr>
              <w:t>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93588DD">
            <w:pPr>
              <w:pStyle w:val="4"/>
              <w:jc w:val="both"/>
            </w:pPr>
          </w:p>
        </w:tc>
      </w:tr>
      <w:tr w14:paraId="6D8C7D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3AFD1D7C"/>
        </w:tc>
        <w:tc>
          <w:tcPr>
            <w:tcW w:w="962" w:type="dxa"/>
            <w:vMerge w:val="continue"/>
            <w:tcBorders>
              <w:top w:val="nil"/>
              <w:left w:val="nil"/>
              <w:bottom w:val="single" w:color="000000" w:sz="4" w:space="0"/>
              <w:right w:val="single" w:color="000000" w:sz="4" w:space="0"/>
            </w:tcBorders>
          </w:tcPr>
          <w:p w14:paraId="7576D683"/>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0B8211A">
            <w:pPr>
              <w:pStyle w:val="4"/>
              <w:jc w:val="both"/>
            </w:pPr>
            <w:r>
              <w:rPr>
                <w:rFonts w:ascii="仿宋_GB2312" w:hAnsi="仿宋_GB2312" w:eastAsia="仿宋_GB2312" w:cs="仿宋_GB2312"/>
                <w:sz w:val="21"/>
              </w:rPr>
              <w:t>灌木造型整齐、无徒长、杂乱枝条。如15日未整改的。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1CCF2B01">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A58BB25">
            <w:pPr>
              <w:pStyle w:val="4"/>
              <w:jc w:val="both"/>
            </w:pPr>
            <w:r>
              <w:rPr>
                <w:rFonts w:ascii="仿宋_GB2312" w:hAnsi="仿宋_GB2312" w:eastAsia="仿宋_GB2312" w:cs="仿宋_GB2312"/>
                <w:sz w:val="21"/>
              </w:rPr>
              <w:t>发现每次扣0.5分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211B506B">
            <w:pPr>
              <w:pStyle w:val="4"/>
              <w:jc w:val="both"/>
            </w:pPr>
          </w:p>
        </w:tc>
      </w:tr>
      <w:tr w14:paraId="2814CC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1E340703"/>
        </w:tc>
        <w:tc>
          <w:tcPr>
            <w:tcW w:w="962" w:type="dxa"/>
            <w:vMerge w:val="continue"/>
            <w:tcBorders>
              <w:top w:val="nil"/>
              <w:left w:val="nil"/>
              <w:bottom w:val="single" w:color="000000" w:sz="4" w:space="0"/>
              <w:right w:val="single" w:color="000000" w:sz="4" w:space="0"/>
            </w:tcBorders>
          </w:tcPr>
          <w:p w14:paraId="69B0C462"/>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5EDEDB7E">
            <w:pPr>
              <w:pStyle w:val="4"/>
              <w:jc w:val="both"/>
            </w:pPr>
            <w:r>
              <w:rPr>
                <w:rFonts w:ascii="仿宋_GB2312" w:hAnsi="仿宋_GB2312" w:eastAsia="仿宋_GB2312" w:cs="仿宋_GB2312"/>
                <w:sz w:val="21"/>
              </w:rPr>
              <w:t>花卉花期正常，开花率80%以上。</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D83C8B6">
            <w:pPr>
              <w:pStyle w:val="4"/>
              <w:jc w:val="center"/>
            </w:pPr>
            <w:r>
              <w:rPr>
                <w:rFonts w:ascii="仿宋_GB2312" w:hAnsi="仿宋_GB2312" w:eastAsia="仿宋_GB2312" w:cs="仿宋_GB2312"/>
                <w:sz w:val="21"/>
              </w:rPr>
              <w:t>4</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11D1C3C4">
            <w:pPr>
              <w:pStyle w:val="4"/>
              <w:jc w:val="both"/>
            </w:pPr>
            <w:r>
              <w:rPr>
                <w:rFonts w:ascii="仿宋_GB2312" w:hAnsi="仿宋_GB2312" w:eastAsia="仿宋_GB2312" w:cs="仿宋_GB2312"/>
                <w:sz w:val="21"/>
              </w:rPr>
              <w:t>发现1次扣0.5分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EABCBB9">
            <w:pPr>
              <w:pStyle w:val="4"/>
              <w:jc w:val="both"/>
            </w:pPr>
          </w:p>
        </w:tc>
      </w:tr>
      <w:tr w14:paraId="2F0DF9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64696921"/>
        </w:tc>
        <w:tc>
          <w:tcPr>
            <w:tcW w:w="962" w:type="dxa"/>
            <w:vMerge w:val="continue"/>
            <w:tcBorders>
              <w:top w:val="nil"/>
              <w:left w:val="nil"/>
              <w:bottom w:val="single" w:color="000000" w:sz="4" w:space="0"/>
              <w:right w:val="single" w:color="000000" w:sz="4" w:space="0"/>
            </w:tcBorders>
          </w:tcPr>
          <w:p w14:paraId="67A68A88"/>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54057038">
            <w:pPr>
              <w:pStyle w:val="4"/>
              <w:jc w:val="both"/>
            </w:pPr>
            <w:r>
              <w:rPr>
                <w:rFonts w:ascii="仿宋_GB2312" w:hAnsi="仿宋_GB2312" w:eastAsia="仿宋_GB2312" w:cs="仿宋_GB2312"/>
                <w:sz w:val="21"/>
              </w:rPr>
              <w:t>草坪覆盖率大于95%，斑秃面积不超过1%</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5EC0ABCB">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10B6241A">
            <w:pPr>
              <w:pStyle w:val="4"/>
              <w:jc w:val="both"/>
            </w:pPr>
            <w:r>
              <w:rPr>
                <w:rFonts w:ascii="仿宋_GB2312" w:hAnsi="仿宋_GB2312" w:eastAsia="仿宋_GB2312" w:cs="仿宋_GB2312"/>
                <w:sz w:val="21"/>
              </w:rPr>
              <w:t>每发现一次扣0.5分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50800E93">
            <w:pPr>
              <w:pStyle w:val="4"/>
              <w:jc w:val="both"/>
            </w:pPr>
          </w:p>
        </w:tc>
      </w:tr>
      <w:tr w14:paraId="1492CD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1E95DFB9"/>
        </w:tc>
        <w:tc>
          <w:tcPr>
            <w:tcW w:w="962" w:type="dxa"/>
            <w:vMerge w:val="continue"/>
            <w:tcBorders>
              <w:top w:val="nil"/>
              <w:left w:val="nil"/>
              <w:bottom w:val="single" w:color="000000" w:sz="4" w:space="0"/>
              <w:right w:val="single" w:color="000000" w:sz="4" w:space="0"/>
            </w:tcBorders>
          </w:tcPr>
          <w:p w14:paraId="3C3BA1F9"/>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0BFD061">
            <w:pPr>
              <w:pStyle w:val="4"/>
              <w:jc w:val="both"/>
            </w:pPr>
            <w:r>
              <w:rPr>
                <w:rFonts w:ascii="仿宋_GB2312" w:hAnsi="仿宋_GB2312" w:eastAsia="仿宋_GB2312" w:cs="仿宋_GB2312"/>
                <w:sz w:val="21"/>
              </w:rPr>
              <w:t>草坪高度整齐，修剪及时。如超出修剪高度未修剪。</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41163FBA">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1C4E1873">
            <w:pPr>
              <w:pStyle w:val="4"/>
              <w:jc w:val="both"/>
            </w:pPr>
            <w:r>
              <w:rPr>
                <w:rFonts w:ascii="仿宋_GB2312" w:hAnsi="仿宋_GB2312" w:eastAsia="仿宋_GB2312" w:cs="仿宋_GB2312"/>
                <w:sz w:val="21"/>
              </w:rPr>
              <w:t>每发现一次扣0.5分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48795287">
            <w:pPr>
              <w:pStyle w:val="4"/>
              <w:jc w:val="both"/>
            </w:pPr>
          </w:p>
        </w:tc>
      </w:tr>
      <w:tr w14:paraId="13FCC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5A4F14B4"/>
        </w:tc>
        <w:tc>
          <w:tcPr>
            <w:tcW w:w="962" w:type="dxa"/>
            <w:vMerge w:val="continue"/>
            <w:tcBorders>
              <w:top w:val="nil"/>
              <w:left w:val="nil"/>
              <w:bottom w:val="single" w:color="000000" w:sz="4" w:space="0"/>
              <w:right w:val="single" w:color="000000" w:sz="4" w:space="0"/>
            </w:tcBorders>
          </w:tcPr>
          <w:p w14:paraId="1FE6C802"/>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69986E89">
            <w:pPr>
              <w:pStyle w:val="4"/>
              <w:jc w:val="both"/>
            </w:pPr>
            <w:r>
              <w:rPr>
                <w:rFonts w:ascii="仿宋_GB2312" w:hAnsi="仿宋_GB2312" w:eastAsia="仿宋_GB2312" w:cs="仿宋_GB2312"/>
                <w:sz w:val="21"/>
              </w:rPr>
              <w:t>草坪无杂草，杂草密度不超过5%。如超过5%的。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4AC78AA2">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4DC58B17">
            <w:pPr>
              <w:pStyle w:val="4"/>
              <w:jc w:val="both"/>
            </w:pPr>
            <w:r>
              <w:rPr>
                <w:rFonts w:ascii="仿宋_GB2312" w:hAnsi="仿宋_GB2312" w:eastAsia="仿宋_GB2312" w:cs="仿宋_GB2312"/>
                <w:sz w:val="21"/>
              </w:rPr>
              <w:t>每次扣0.5分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5973490C">
            <w:pPr>
              <w:pStyle w:val="4"/>
              <w:jc w:val="both"/>
            </w:pPr>
          </w:p>
        </w:tc>
      </w:tr>
      <w:tr w14:paraId="5DD7D3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2EA2B00C"/>
        </w:tc>
        <w:tc>
          <w:tcPr>
            <w:tcW w:w="962" w:type="dxa"/>
            <w:vMerge w:val="continue"/>
            <w:tcBorders>
              <w:top w:val="nil"/>
              <w:left w:val="nil"/>
              <w:bottom w:val="single" w:color="000000" w:sz="4" w:space="0"/>
              <w:right w:val="single" w:color="000000" w:sz="4" w:space="0"/>
            </w:tcBorders>
          </w:tcPr>
          <w:p w14:paraId="53DAD18F"/>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3B2D841D">
            <w:pPr>
              <w:pStyle w:val="4"/>
              <w:jc w:val="both"/>
            </w:pPr>
            <w:r>
              <w:rPr>
                <w:rFonts w:ascii="仿宋_GB2312" w:hAnsi="仿宋_GB2312" w:eastAsia="仿宋_GB2312" w:cs="仿宋_GB2312"/>
                <w:sz w:val="21"/>
              </w:rPr>
              <w:t>园林垃圾清理及时，及时清理，发现24小时未清理的。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2C96D029">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7AFB0EE6">
            <w:pPr>
              <w:pStyle w:val="4"/>
              <w:jc w:val="both"/>
            </w:pPr>
            <w:r>
              <w:rPr>
                <w:rFonts w:ascii="仿宋_GB2312" w:hAnsi="仿宋_GB2312" w:eastAsia="仿宋_GB2312" w:cs="仿宋_GB2312"/>
                <w:sz w:val="21"/>
              </w:rPr>
              <w:t>出现一次扣0.5分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FBB831F">
            <w:pPr>
              <w:pStyle w:val="4"/>
              <w:jc w:val="both"/>
            </w:pPr>
          </w:p>
        </w:tc>
      </w:tr>
      <w:tr w14:paraId="4AF1B2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28C435B3"/>
        </w:tc>
        <w:tc>
          <w:tcPr>
            <w:tcW w:w="962" w:type="dxa"/>
            <w:vMerge w:val="continue"/>
            <w:tcBorders>
              <w:top w:val="nil"/>
              <w:left w:val="nil"/>
              <w:bottom w:val="single" w:color="000000" w:sz="4" w:space="0"/>
              <w:right w:val="single" w:color="000000" w:sz="4" w:space="0"/>
            </w:tcBorders>
          </w:tcPr>
          <w:p w14:paraId="6A6AC67C"/>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0AC6B66">
            <w:pPr>
              <w:pStyle w:val="4"/>
              <w:jc w:val="both"/>
            </w:pPr>
            <w:r>
              <w:rPr>
                <w:rFonts w:ascii="仿宋_GB2312" w:hAnsi="仿宋_GB2312" w:eastAsia="仿宋_GB2312" w:cs="仿宋_GB2312"/>
                <w:sz w:val="21"/>
              </w:rPr>
              <w:t>园林有害生物防治及时，如出现面积大于50平方米的。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EFB9338">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58CC4E1">
            <w:pPr>
              <w:pStyle w:val="4"/>
              <w:jc w:val="both"/>
            </w:pPr>
            <w:r>
              <w:rPr>
                <w:rFonts w:ascii="仿宋_GB2312" w:hAnsi="仿宋_GB2312" w:eastAsia="仿宋_GB2312" w:cs="仿宋_GB2312"/>
                <w:sz w:val="21"/>
              </w:rPr>
              <w:t>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761A9B70">
            <w:pPr>
              <w:pStyle w:val="4"/>
              <w:jc w:val="both"/>
            </w:pPr>
          </w:p>
        </w:tc>
      </w:tr>
      <w:tr w14:paraId="4DE0F9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6F3ABCC4"/>
        </w:tc>
        <w:tc>
          <w:tcPr>
            <w:tcW w:w="962" w:type="dxa"/>
            <w:vMerge w:val="continue"/>
            <w:tcBorders>
              <w:top w:val="nil"/>
              <w:left w:val="nil"/>
              <w:bottom w:val="single" w:color="000000" w:sz="4" w:space="0"/>
              <w:right w:val="single" w:color="000000" w:sz="4" w:space="0"/>
            </w:tcBorders>
          </w:tcPr>
          <w:p w14:paraId="00A91009"/>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148B4CF2">
            <w:pPr>
              <w:pStyle w:val="4"/>
              <w:jc w:val="both"/>
            </w:pPr>
            <w:r>
              <w:rPr>
                <w:rFonts w:ascii="仿宋_GB2312" w:hAnsi="仿宋_GB2312" w:eastAsia="仿宋_GB2312" w:cs="仿宋_GB2312"/>
                <w:sz w:val="21"/>
              </w:rPr>
              <w:t>作业时设置警示标志。如未设置的。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029A030">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627849E">
            <w:pPr>
              <w:pStyle w:val="4"/>
              <w:jc w:val="both"/>
            </w:pPr>
            <w:r>
              <w:rPr>
                <w:rFonts w:ascii="仿宋_GB2312" w:hAnsi="仿宋_GB2312" w:eastAsia="仿宋_GB2312" w:cs="仿宋_GB2312"/>
                <w:sz w:val="21"/>
              </w:rPr>
              <w:t>发现一次0.5分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2A8CD335">
            <w:pPr>
              <w:pStyle w:val="4"/>
              <w:jc w:val="both"/>
            </w:pPr>
          </w:p>
        </w:tc>
      </w:tr>
      <w:tr w14:paraId="4D2A91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0650B046"/>
        </w:tc>
        <w:tc>
          <w:tcPr>
            <w:tcW w:w="962" w:type="dxa"/>
            <w:vMerge w:val="continue"/>
            <w:tcBorders>
              <w:top w:val="nil"/>
              <w:left w:val="nil"/>
              <w:bottom w:val="single" w:color="000000" w:sz="4" w:space="0"/>
              <w:right w:val="single" w:color="000000" w:sz="4" w:space="0"/>
            </w:tcBorders>
          </w:tcPr>
          <w:p w14:paraId="257875EA"/>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25F935AD">
            <w:pPr>
              <w:pStyle w:val="4"/>
              <w:jc w:val="both"/>
            </w:pPr>
            <w:r>
              <w:rPr>
                <w:rFonts w:ascii="仿宋_GB2312" w:hAnsi="仿宋_GB2312" w:eastAsia="仿宋_GB2312" w:cs="仿宋_GB2312"/>
                <w:sz w:val="21"/>
              </w:rPr>
              <w:t>合理使用农药（无违规使用剧毒农药），发现违规使用的。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2589DDDC">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045329A3">
            <w:pPr>
              <w:pStyle w:val="4"/>
              <w:jc w:val="both"/>
            </w:pPr>
            <w:r>
              <w:rPr>
                <w:rFonts w:ascii="仿宋_GB2312" w:hAnsi="仿宋_GB2312" w:eastAsia="仿宋_GB2312" w:cs="仿宋_GB2312"/>
                <w:sz w:val="21"/>
              </w:rPr>
              <w:t>每次扣0.5分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4B429ADA">
            <w:pPr>
              <w:pStyle w:val="4"/>
              <w:jc w:val="both"/>
            </w:pPr>
          </w:p>
        </w:tc>
      </w:tr>
      <w:tr w14:paraId="1DEE73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53522912"/>
        </w:tc>
        <w:tc>
          <w:tcPr>
            <w:tcW w:w="962" w:type="dxa"/>
            <w:vMerge w:val="continue"/>
            <w:tcBorders>
              <w:top w:val="nil"/>
              <w:left w:val="nil"/>
              <w:bottom w:val="single" w:color="000000" w:sz="4" w:space="0"/>
              <w:right w:val="single" w:color="000000" w:sz="4" w:space="0"/>
            </w:tcBorders>
          </w:tcPr>
          <w:p w14:paraId="3DEFC3FA"/>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509CF260">
            <w:pPr>
              <w:pStyle w:val="4"/>
              <w:jc w:val="both"/>
            </w:pPr>
            <w:r>
              <w:rPr>
                <w:rFonts w:ascii="仿宋_GB2312" w:hAnsi="仿宋_GB2312" w:eastAsia="仿宋_GB2312" w:cs="仿宋_GB2312"/>
                <w:sz w:val="21"/>
              </w:rPr>
              <w:t>浇水、施肥频率符合植物要求，出现大面积缺水的。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E109A8E">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74E521D">
            <w:pPr>
              <w:pStyle w:val="4"/>
              <w:jc w:val="both"/>
            </w:pPr>
            <w:r>
              <w:rPr>
                <w:rFonts w:ascii="仿宋_GB2312" w:hAnsi="仿宋_GB2312" w:eastAsia="仿宋_GB2312" w:cs="仿宋_GB2312"/>
                <w:sz w:val="21"/>
              </w:rPr>
              <w:t>每次扣0.5分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4D9260E2">
            <w:pPr>
              <w:pStyle w:val="4"/>
              <w:jc w:val="both"/>
            </w:pPr>
          </w:p>
        </w:tc>
      </w:tr>
      <w:tr w14:paraId="74FC28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57B50B4">
            <w:pPr>
              <w:pStyle w:val="4"/>
              <w:jc w:val="center"/>
            </w:pPr>
            <w:r>
              <w:rPr>
                <w:rFonts w:ascii="仿宋_GB2312" w:hAnsi="仿宋_GB2312" w:eastAsia="仿宋_GB2312" w:cs="仿宋_GB2312"/>
                <w:sz w:val="21"/>
              </w:rPr>
              <w:t>作业车辆</w:t>
            </w:r>
          </w:p>
          <w:p w14:paraId="4E174309">
            <w:pPr>
              <w:pStyle w:val="4"/>
              <w:jc w:val="center"/>
            </w:pPr>
            <w:r>
              <w:rPr>
                <w:rFonts w:ascii="仿宋_GB2312" w:hAnsi="仿宋_GB2312" w:eastAsia="仿宋_GB2312" w:cs="仿宋_GB2312"/>
                <w:sz w:val="21"/>
              </w:rPr>
              <w:t>（13分）</w:t>
            </w:r>
          </w:p>
        </w:tc>
        <w:tc>
          <w:tcPr>
            <w:tcW w:w="962" w:type="dxa"/>
            <w:vMerge w:val="restart"/>
            <w:tcBorders>
              <w:top w:val="nil"/>
              <w:left w:val="nil"/>
              <w:bottom w:val="single" w:color="000000" w:sz="4" w:space="0"/>
              <w:right w:val="single" w:color="000000" w:sz="4" w:space="0"/>
            </w:tcBorders>
            <w:tcMar>
              <w:top w:w="0" w:type="dxa"/>
              <w:left w:w="0" w:type="dxa"/>
              <w:bottom w:w="0" w:type="dxa"/>
              <w:right w:w="0" w:type="dxa"/>
            </w:tcMar>
            <w:vAlign w:val="top"/>
          </w:tcPr>
          <w:p w14:paraId="2B4A97CB">
            <w:pPr>
              <w:pStyle w:val="4"/>
              <w:jc w:val="center"/>
            </w:pPr>
            <w:r>
              <w:rPr>
                <w:rFonts w:ascii="仿宋_GB2312" w:hAnsi="仿宋_GB2312" w:eastAsia="仿宋_GB2312" w:cs="仿宋_GB2312"/>
                <w:sz w:val="21"/>
              </w:rPr>
              <w:t>车辆规范作业及管理</w:t>
            </w:r>
          </w:p>
          <w:p w14:paraId="43D20F60">
            <w:pPr>
              <w:pStyle w:val="4"/>
              <w:jc w:val="center"/>
            </w:pPr>
            <w:r>
              <w:rPr>
                <w:rFonts w:ascii="仿宋_GB2312" w:hAnsi="仿宋_GB2312" w:eastAsia="仿宋_GB2312" w:cs="仿宋_GB2312"/>
                <w:sz w:val="21"/>
              </w:rPr>
              <w:t>（13分）</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6031D975">
            <w:pPr>
              <w:pStyle w:val="4"/>
              <w:jc w:val="both"/>
            </w:pPr>
            <w:r>
              <w:rPr>
                <w:rFonts w:ascii="仿宋_GB2312" w:hAnsi="仿宋_GB2312" w:eastAsia="仿宋_GB2312" w:cs="仿宋_GB2312"/>
                <w:sz w:val="21"/>
              </w:rPr>
              <w:t>作业车辆未在规定时间内完成规定作业任务，弄虚作假、敷衍了事。</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665C3DF8">
            <w:pPr>
              <w:pStyle w:val="4"/>
              <w:jc w:val="center"/>
            </w:pPr>
            <w:r>
              <w:rPr>
                <w:rFonts w:ascii="仿宋_GB2312" w:hAnsi="仿宋_GB2312" w:eastAsia="仿宋_GB2312" w:cs="仿宋_GB2312"/>
                <w:sz w:val="21"/>
              </w:rPr>
              <w:t>2</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3BD990C5">
            <w:pPr>
              <w:pStyle w:val="4"/>
              <w:jc w:val="both"/>
            </w:pPr>
            <w:r>
              <w:rPr>
                <w:rFonts w:ascii="仿宋_GB2312" w:hAnsi="仿宋_GB2312" w:eastAsia="仿宋_GB2312" w:cs="仿宋_GB2312"/>
                <w:sz w:val="21"/>
              </w:rPr>
              <w:t>每发现一次扣1分。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78FF7263">
            <w:pPr>
              <w:pStyle w:val="4"/>
              <w:jc w:val="both"/>
            </w:pPr>
          </w:p>
        </w:tc>
      </w:tr>
      <w:tr w14:paraId="66720F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4C82B246"/>
        </w:tc>
        <w:tc>
          <w:tcPr>
            <w:tcW w:w="962" w:type="dxa"/>
            <w:vMerge w:val="continue"/>
            <w:tcBorders>
              <w:top w:val="nil"/>
              <w:left w:val="nil"/>
              <w:bottom w:val="single" w:color="000000" w:sz="4" w:space="0"/>
              <w:right w:val="single" w:color="000000" w:sz="4" w:space="0"/>
            </w:tcBorders>
          </w:tcPr>
          <w:p w14:paraId="1BCB3D87"/>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8B8BAF7">
            <w:pPr>
              <w:pStyle w:val="4"/>
              <w:jc w:val="both"/>
            </w:pPr>
            <w:r>
              <w:rPr>
                <w:rFonts w:ascii="仿宋_GB2312" w:hAnsi="仿宋_GB2312" w:eastAsia="仿宋_GB2312" w:cs="仿宋_GB2312"/>
                <w:sz w:val="21"/>
              </w:rPr>
              <w:t>作业车辆标识不清晰、不齐全，车容、车内务不整洁，车体存在破损、锈蚀、污渍、灰垢，带病上路。</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1F6B79A6">
            <w:pPr>
              <w:pStyle w:val="4"/>
              <w:jc w:val="center"/>
            </w:pPr>
            <w:r>
              <w:rPr>
                <w:rFonts w:ascii="仿宋_GB2312" w:hAnsi="仿宋_GB2312" w:eastAsia="仿宋_GB2312" w:cs="仿宋_GB2312"/>
                <w:sz w:val="21"/>
              </w:rPr>
              <w:t>2</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D639132">
            <w:pPr>
              <w:pStyle w:val="4"/>
              <w:jc w:val="both"/>
            </w:pPr>
            <w:r>
              <w:rPr>
                <w:rFonts w:ascii="仿宋_GB2312" w:hAnsi="仿宋_GB2312" w:eastAsia="仿宋_GB2312" w:cs="仿宋_GB2312"/>
                <w:sz w:val="21"/>
              </w:rPr>
              <w:t>每发现一项扣0.2分。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096A5C47">
            <w:pPr>
              <w:pStyle w:val="4"/>
              <w:jc w:val="both"/>
            </w:pPr>
          </w:p>
        </w:tc>
      </w:tr>
      <w:tr w14:paraId="1FD643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78D0814D"/>
        </w:tc>
        <w:tc>
          <w:tcPr>
            <w:tcW w:w="962" w:type="dxa"/>
            <w:vMerge w:val="continue"/>
            <w:tcBorders>
              <w:top w:val="nil"/>
              <w:left w:val="nil"/>
              <w:bottom w:val="single" w:color="000000" w:sz="4" w:space="0"/>
              <w:right w:val="single" w:color="000000" w:sz="4" w:space="0"/>
            </w:tcBorders>
          </w:tcPr>
          <w:p w14:paraId="13CEF98A"/>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65D76C21">
            <w:pPr>
              <w:pStyle w:val="4"/>
              <w:jc w:val="both"/>
            </w:pPr>
            <w:r>
              <w:rPr>
                <w:rFonts w:ascii="仿宋_GB2312" w:hAnsi="仿宋_GB2312" w:eastAsia="仿宋_GB2312" w:cs="仿宋_GB2312"/>
                <w:sz w:val="21"/>
              </w:rPr>
              <w:t>车辆作业时未开启警示灯或特效音乐。</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644081E">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4828273D">
            <w:pPr>
              <w:pStyle w:val="4"/>
              <w:jc w:val="both"/>
            </w:pPr>
            <w:r>
              <w:rPr>
                <w:rFonts w:ascii="仿宋_GB2312" w:hAnsi="仿宋_GB2312" w:eastAsia="仿宋_GB2312" w:cs="仿宋_GB2312"/>
                <w:sz w:val="21"/>
              </w:rPr>
              <w:t>每发现一次扣0.2分。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371E7EAA">
            <w:pPr>
              <w:pStyle w:val="4"/>
              <w:jc w:val="both"/>
            </w:pPr>
          </w:p>
        </w:tc>
      </w:tr>
      <w:tr w14:paraId="32F7BA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21C7281D"/>
        </w:tc>
        <w:tc>
          <w:tcPr>
            <w:tcW w:w="962" w:type="dxa"/>
            <w:vMerge w:val="continue"/>
            <w:tcBorders>
              <w:top w:val="nil"/>
              <w:left w:val="nil"/>
              <w:bottom w:val="single" w:color="000000" w:sz="4" w:space="0"/>
              <w:right w:val="single" w:color="000000" w:sz="4" w:space="0"/>
            </w:tcBorders>
          </w:tcPr>
          <w:p w14:paraId="4DADAA2F"/>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475BAB41">
            <w:pPr>
              <w:pStyle w:val="4"/>
              <w:jc w:val="both"/>
            </w:pPr>
            <w:r>
              <w:rPr>
                <w:rFonts w:ascii="仿宋_GB2312" w:hAnsi="仿宋_GB2312" w:eastAsia="仿宋_GB2312" w:cs="仿宋_GB2312"/>
                <w:sz w:val="21"/>
              </w:rPr>
              <w:t>作业车辆未遵守交通法规，未避让车辆和行人，将水喷溅到行人和其他车辆的，受到信访举报投诉。</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3C66744">
            <w:pPr>
              <w:pStyle w:val="4"/>
              <w:jc w:val="center"/>
            </w:pPr>
            <w:r>
              <w:rPr>
                <w:rFonts w:ascii="仿宋_GB2312" w:hAnsi="仿宋_GB2312" w:eastAsia="仿宋_GB2312" w:cs="仿宋_GB2312"/>
                <w:sz w:val="21"/>
              </w:rPr>
              <w:t>2</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42E7C129">
            <w:pPr>
              <w:pStyle w:val="4"/>
              <w:jc w:val="both"/>
            </w:pPr>
            <w:r>
              <w:rPr>
                <w:rFonts w:ascii="仿宋_GB2312" w:hAnsi="仿宋_GB2312" w:eastAsia="仿宋_GB2312" w:cs="仿宋_GB2312"/>
                <w:sz w:val="21"/>
              </w:rPr>
              <w:t>查证属实每次扣0.5分。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647EB1B">
            <w:pPr>
              <w:pStyle w:val="4"/>
              <w:jc w:val="both"/>
            </w:pPr>
          </w:p>
        </w:tc>
      </w:tr>
      <w:tr w14:paraId="658ABC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44672624"/>
        </w:tc>
        <w:tc>
          <w:tcPr>
            <w:tcW w:w="962" w:type="dxa"/>
            <w:vMerge w:val="continue"/>
            <w:tcBorders>
              <w:top w:val="nil"/>
              <w:left w:val="nil"/>
              <w:bottom w:val="single" w:color="000000" w:sz="4" w:space="0"/>
              <w:right w:val="single" w:color="000000" w:sz="4" w:space="0"/>
            </w:tcBorders>
          </w:tcPr>
          <w:p w14:paraId="0084CFA6"/>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2B789D67">
            <w:pPr>
              <w:pStyle w:val="4"/>
              <w:jc w:val="both"/>
            </w:pPr>
            <w:r>
              <w:rPr>
                <w:rFonts w:ascii="仿宋_GB2312" w:hAnsi="仿宋_GB2312" w:eastAsia="仿宋_GB2312" w:cs="仿宋_GB2312"/>
                <w:sz w:val="21"/>
              </w:rPr>
              <w:t>在作业过程中，车辆未按规定速度作业的。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7F24E0FB">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7F3858CC">
            <w:pPr>
              <w:pStyle w:val="4"/>
              <w:jc w:val="both"/>
            </w:pPr>
            <w:r>
              <w:rPr>
                <w:rFonts w:ascii="仿宋_GB2312" w:hAnsi="仿宋_GB2312" w:eastAsia="仿宋_GB2312" w:cs="仿宋_GB2312"/>
                <w:sz w:val="21"/>
              </w:rPr>
              <w:t>每发现一次扣0.5分。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94B7A53">
            <w:pPr>
              <w:pStyle w:val="4"/>
              <w:jc w:val="both"/>
            </w:pPr>
          </w:p>
        </w:tc>
      </w:tr>
      <w:tr w14:paraId="7AE769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3E42A15F"/>
        </w:tc>
        <w:tc>
          <w:tcPr>
            <w:tcW w:w="962" w:type="dxa"/>
            <w:vMerge w:val="continue"/>
            <w:tcBorders>
              <w:top w:val="nil"/>
              <w:left w:val="nil"/>
              <w:bottom w:val="single" w:color="000000" w:sz="4" w:space="0"/>
              <w:right w:val="single" w:color="000000" w:sz="4" w:space="0"/>
            </w:tcBorders>
          </w:tcPr>
          <w:p w14:paraId="1A4F5D1F"/>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7A7897C">
            <w:pPr>
              <w:pStyle w:val="4"/>
              <w:jc w:val="both"/>
            </w:pPr>
            <w:r>
              <w:rPr>
                <w:rFonts w:ascii="仿宋_GB2312" w:hAnsi="仿宋_GB2312" w:eastAsia="仿宋_GB2312" w:cs="仿宋_GB2312"/>
                <w:sz w:val="21"/>
              </w:rPr>
              <w:t>作业车辆未经同意擅自改变作业线路。</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451E3B13">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8A343B2">
            <w:pPr>
              <w:pStyle w:val="4"/>
              <w:jc w:val="both"/>
            </w:pPr>
            <w:r>
              <w:rPr>
                <w:rFonts w:ascii="仿宋_GB2312" w:hAnsi="仿宋_GB2312" w:eastAsia="仿宋_GB2312" w:cs="仿宋_GB2312"/>
                <w:sz w:val="21"/>
              </w:rPr>
              <w:t>每发现一次扣0.5分。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2D1B4BC7">
            <w:pPr>
              <w:pStyle w:val="4"/>
              <w:jc w:val="both"/>
            </w:pPr>
          </w:p>
        </w:tc>
      </w:tr>
      <w:tr w14:paraId="1F11A1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5750C677"/>
        </w:tc>
        <w:tc>
          <w:tcPr>
            <w:tcW w:w="962" w:type="dxa"/>
            <w:vMerge w:val="continue"/>
            <w:tcBorders>
              <w:top w:val="nil"/>
              <w:left w:val="nil"/>
              <w:bottom w:val="single" w:color="000000" w:sz="4" w:space="0"/>
              <w:right w:val="single" w:color="000000" w:sz="4" w:space="0"/>
            </w:tcBorders>
          </w:tcPr>
          <w:p w14:paraId="139296DF"/>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41FF5D54">
            <w:pPr>
              <w:pStyle w:val="4"/>
              <w:jc w:val="both"/>
            </w:pPr>
            <w:r>
              <w:rPr>
                <w:rFonts w:ascii="仿宋_GB2312" w:hAnsi="仿宋_GB2312" w:eastAsia="仿宋_GB2312" w:cs="仿宋_GB2312"/>
                <w:sz w:val="21"/>
              </w:rPr>
              <w:t>收车后作业车辆未加满水，车辆未规范停放在停车场的，停车后未关闭总电源的。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5DE33682">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275F1269">
            <w:pPr>
              <w:pStyle w:val="4"/>
              <w:jc w:val="both"/>
            </w:pPr>
            <w:r>
              <w:rPr>
                <w:rFonts w:ascii="仿宋_GB2312" w:hAnsi="仿宋_GB2312" w:eastAsia="仿宋_GB2312" w:cs="仿宋_GB2312"/>
                <w:sz w:val="21"/>
              </w:rPr>
              <w:t>每发现一次扣1分。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04E27447">
            <w:pPr>
              <w:pStyle w:val="4"/>
              <w:jc w:val="both"/>
            </w:pPr>
          </w:p>
        </w:tc>
      </w:tr>
      <w:tr w14:paraId="4A87C0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3C08D059"/>
        </w:tc>
        <w:tc>
          <w:tcPr>
            <w:tcW w:w="962" w:type="dxa"/>
            <w:vMerge w:val="continue"/>
            <w:tcBorders>
              <w:top w:val="nil"/>
              <w:left w:val="nil"/>
              <w:bottom w:val="single" w:color="000000" w:sz="4" w:space="0"/>
              <w:right w:val="single" w:color="000000" w:sz="4" w:space="0"/>
            </w:tcBorders>
          </w:tcPr>
          <w:p w14:paraId="0F6F2776"/>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24C72B03">
            <w:pPr>
              <w:pStyle w:val="4"/>
              <w:jc w:val="both"/>
            </w:pPr>
            <w:r>
              <w:rPr>
                <w:rFonts w:ascii="仿宋_GB2312" w:hAnsi="仿宋_GB2312" w:eastAsia="仿宋_GB2312" w:cs="仿宋_GB2312"/>
                <w:sz w:val="21"/>
              </w:rPr>
              <w:t>车辆外观不整洁且存在异味或车身悬挂杂物、</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7D08A51D">
            <w:pPr>
              <w:pStyle w:val="4"/>
              <w:jc w:val="center"/>
            </w:pPr>
            <w:r>
              <w:rPr>
                <w:rFonts w:ascii="仿宋_GB2312" w:hAnsi="仿宋_GB2312" w:eastAsia="仿宋_GB2312" w:cs="仿宋_GB2312"/>
                <w:sz w:val="21"/>
              </w:rPr>
              <w:t>1</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0F6AF518">
            <w:pPr>
              <w:pStyle w:val="4"/>
              <w:jc w:val="both"/>
            </w:pPr>
            <w:r>
              <w:rPr>
                <w:rFonts w:ascii="仿宋_GB2312" w:hAnsi="仿宋_GB2312" w:eastAsia="仿宋_GB2312" w:cs="仿宋_GB2312"/>
                <w:sz w:val="21"/>
              </w:rPr>
              <w:t>每发现一次扣0.5分。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3ECB9308">
            <w:pPr>
              <w:pStyle w:val="4"/>
              <w:jc w:val="both"/>
            </w:pPr>
          </w:p>
        </w:tc>
      </w:tr>
      <w:tr w14:paraId="761606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64A39FD4"/>
        </w:tc>
        <w:tc>
          <w:tcPr>
            <w:tcW w:w="962" w:type="dxa"/>
            <w:vMerge w:val="continue"/>
            <w:tcBorders>
              <w:top w:val="nil"/>
              <w:left w:val="nil"/>
              <w:bottom w:val="single" w:color="000000" w:sz="4" w:space="0"/>
              <w:right w:val="single" w:color="000000" w:sz="4" w:space="0"/>
            </w:tcBorders>
          </w:tcPr>
          <w:p w14:paraId="405524DC"/>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15820CB9">
            <w:pPr>
              <w:pStyle w:val="4"/>
              <w:jc w:val="both"/>
            </w:pPr>
            <w:r>
              <w:rPr>
                <w:rFonts w:ascii="仿宋_GB2312" w:hAnsi="仿宋_GB2312" w:eastAsia="仿宋_GB2312" w:cs="仿宋_GB2312"/>
                <w:sz w:val="21"/>
              </w:rPr>
              <w:t>因车辆损坏，驾驶员未及时申报而耽误工作的。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1929D5F1">
            <w:pPr>
              <w:pStyle w:val="4"/>
              <w:jc w:val="center"/>
            </w:pPr>
            <w:r>
              <w:rPr>
                <w:rFonts w:ascii="仿宋_GB2312" w:hAnsi="仿宋_GB2312" w:eastAsia="仿宋_GB2312" w:cs="仿宋_GB2312"/>
                <w:sz w:val="21"/>
              </w:rPr>
              <w:t>2</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463B14B1">
            <w:pPr>
              <w:pStyle w:val="4"/>
              <w:jc w:val="both"/>
            </w:pPr>
            <w:r>
              <w:rPr>
                <w:rFonts w:ascii="仿宋_GB2312" w:hAnsi="仿宋_GB2312" w:eastAsia="仿宋_GB2312" w:cs="仿宋_GB2312"/>
                <w:sz w:val="21"/>
              </w:rPr>
              <w:t>每发现一次扣1分。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7AF2D741">
            <w:pPr>
              <w:pStyle w:val="4"/>
              <w:jc w:val="both"/>
            </w:pPr>
          </w:p>
        </w:tc>
      </w:tr>
      <w:tr w14:paraId="353444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86269C">
            <w:pPr>
              <w:pStyle w:val="4"/>
              <w:jc w:val="center"/>
            </w:pPr>
            <w:r>
              <w:rPr>
                <w:rFonts w:ascii="仿宋_GB2312" w:hAnsi="仿宋_GB2312" w:eastAsia="仿宋_GB2312" w:cs="仿宋_GB2312"/>
                <w:sz w:val="21"/>
              </w:rPr>
              <w:t>路灯及设施管理（22）分</w:t>
            </w:r>
          </w:p>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5865BB19">
            <w:pPr>
              <w:pStyle w:val="4"/>
              <w:jc w:val="center"/>
            </w:pPr>
            <w:r>
              <w:rPr>
                <w:rFonts w:ascii="仿宋_GB2312" w:hAnsi="仿宋_GB2312" w:eastAsia="仿宋_GB2312" w:cs="仿宋_GB2312"/>
                <w:sz w:val="21"/>
              </w:rPr>
              <w:t>管理人员在岗情况</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303E6C9A">
            <w:pPr>
              <w:pStyle w:val="4"/>
              <w:jc w:val="both"/>
            </w:pPr>
            <w:r>
              <w:rPr>
                <w:rFonts w:ascii="仿宋_GB2312" w:hAnsi="仿宋_GB2312" w:eastAsia="仿宋_GB2312" w:cs="仿宋_GB2312"/>
                <w:sz w:val="21"/>
              </w:rPr>
              <w:t>管理人员值班时间在岗履职，规范着装、挂牌作业。</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66E16D8">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10811F02">
            <w:pPr>
              <w:pStyle w:val="4"/>
              <w:jc w:val="both"/>
            </w:pPr>
            <w:r>
              <w:rPr>
                <w:rFonts w:ascii="仿宋_GB2312" w:hAnsi="仿宋_GB2312" w:eastAsia="仿宋_GB2312" w:cs="仿宋_GB2312"/>
                <w:sz w:val="21"/>
              </w:rPr>
              <w:t>管理人员未在岗履职扣0.5分；未规范着装、挂牌作业扣0.1分/人（次）</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3C36DEFD">
            <w:pPr>
              <w:pStyle w:val="4"/>
              <w:jc w:val="both"/>
            </w:pPr>
          </w:p>
        </w:tc>
      </w:tr>
      <w:tr w14:paraId="5AF881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49AF6786"/>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7FDD24D9">
            <w:pPr>
              <w:pStyle w:val="4"/>
              <w:jc w:val="center"/>
            </w:pPr>
            <w:r>
              <w:rPr>
                <w:rFonts w:ascii="仿宋_GB2312" w:hAnsi="仿宋_GB2312" w:eastAsia="仿宋_GB2312" w:cs="仿宋_GB2312"/>
                <w:sz w:val="21"/>
              </w:rPr>
              <w:t>亮灯率</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1DB4BBB9">
            <w:pPr>
              <w:pStyle w:val="4"/>
              <w:jc w:val="both"/>
            </w:pPr>
            <w:r>
              <w:rPr>
                <w:rFonts w:ascii="仿宋_GB2312" w:hAnsi="仿宋_GB2312" w:eastAsia="仿宋_GB2312" w:cs="仿宋_GB2312"/>
                <w:sz w:val="21"/>
              </w:rPr>
              <w:t>不低于97%。</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140F5630">
            <w:pPr>
              <w:pStyle w:val="4"/>
              <w:jc w:val="center"/>
            </w:pPr>
            <w:r>
              <w:rPr>
                <w:rFonts w:ascii="仿宋_GB2312" w:hAnsi="仿宋_GB2312" w:eastAsia="仿宋_GB2312" w:cs="仿宋_GB2312"/>
                <w:sz w:val="21"/>
              </w:rPr>
              <w:t>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A24841C">
            <w:pPr>
              <w:pStyle w:val="4"/>
              <w:jc w:val="both"/>
            </w:pPr>
            <w:r>
              <w:rPr>
                <w:rFonts w:ascii="仿宋_GB2312" w:hAnsi="仿宋_GB2312" w:eastAsia="仿宋_GB2312" w:cs="仿宋_GB2312"/>
                <w:sz w:val="21"/>
              </w:rPr>
              <w:t>每降低1%扣0.5分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334FDB2E">
            <w:pPr>
              <w:pStyle w:val="4"/>
              <w:jc w:val="both"/>
            </w:pPr>
          </w:p>
        </w:tc>
      </w:tr>
      <w:tr w14:paraId="0745DF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6E4D9687"/>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64B68EF9">
            <w:pPr>
              <w:pStyle w:val="4"/>
              <w:jc w:val="center"/>
            </w:pPr>
            <w:r>
              <w:rPr>
                <w:rFonts w:ascii="仿宋_GB2312" w:hAnsi="仿宋_GB2312" w:eastAsia="仿宋_GB2312" w:cs="仿宋_GB2312"/>
                <w:sz w:val="21"/>
              </w:rPr>
              <w:t>设施完好</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147D535F">
            <w:pPr>
              <w:pStyle w:val="4"/>
              <w:jc w:val="both"/>
            </w:pPr>
            <w:r>
              <w:rPr>
                <w:rFonts w:ascii="仿宋_GB2312" w:hAnsi="仿宋_GB2312" w:eastAsia="仿宋_GB2312" w:cs="仿宋_GB2312"/>
                <w:sz w:val="21"/>
              </w:rPr>
              <w:t>灯杆、灯罩无破损、倾斜、锈蚀。如出现这些情况的。</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43D5AE09">
            <w:pPr>
              <w:pStyle w:val="4"/>
              <w:jc w:val="center"/>
            </w:pPr>
            <w:r>
              <w:rPr>
                <w:rFonts w:ascii="仿宋_GB2312" w:hAnsi="仿宋_GB2312" w:eastAsia="仿宋_GB2312" w:cs="仿宋_GB2312"/>
                <w:sz w:val="21"/>
              </w:rPr>
              <w:t>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5553CFD1">
            <w:pPr>
              <w:pStyle w:val="4"/>
              <w:jc w:val="both"/>
            </w:pPr>
            <w:r>
              <w:rPr>
                <w:rFonts w:ascii="仿宋_GB2312" w:hAnsi="仿宋_GB2312" w:eastAsia="仿宋_GB2312" w:cs="仿宋_GB2312"/>
                <w:sz w:val="21"/>
              </w:rPr>
              <w:t>发现一处扣0.5分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1A2EAD43">
            <w:pPr>
              <w:pStyle w:val="4"/>
              <w:jc w:val="both"/>
            </w:pPr>
          </w:p>
        </w:tc>
      </w:tr>
      <w:tr w14:paraId="570881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25816257"/>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6B4F1445">
            <w:pPr>
              <w:pStyle w:val="4"/>
              <w:jc w:val="center"/>
            </w:pPr>
            <w:r>
              <w:rPr>
                <w:rFonts w:ascii="仿宋_GB2312" w:hAnsi="仿宋_GB2312" w:eastAsia="仿宋_GB2312" w:cs="仿宋_GB2312"/>
                <w:sz w:val="21"/>
              </w:rPr>
              <w:t>维护响应</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6971E572">
            <w:pPr>
              <w:pStyle w:val="4"/>
              <w:jc w:val="both"/>
            </w:pPr>
            <w:r>
              <w:rPr>
                <w:rFonts w:ascii="仿宋_GB2312" w:hAnsi="仿宋_GB2312" w:eastAsia="仿宋_GB2312" w:cs="仿宋_GB2312"/>
                <w:sz w:val="21"/>
              </w:rPr>
              <w:t>故障报修后24小时内修复</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4847887">
            <w:pPr>
              <w:pStyle w:val="4"/>
              <w:jc w:val="center"/>
            </w:pPr>
            <w:r>
              <w:rPr>
                <w:rFonts w:ascii="仿宋_GB2312" w:hAnsi="仿宋_GB2312" w:eastAsia="仿宋_GB2312" w:cs="仿宋_GB2312"/>
                <w:sz w:val="21"/>
              </w:rPr>
              <w:t>3</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6235C6AB">
            <w:pPr>
              <w:pStyle w:val="4"/>
              <w:jc w:val="both"/>
            </w:pPr>
            <w:r>
              <w:rPr>
                <w:rFonts w:ascii="仿宋_GB2312" w:hAnsi="仿宋_GB2312" w:eastAsia="仿宋_GB2312" w:cs="仿宋_GB2312"/>
                <w:sz w:val="21"/>
              </w:rPr>
              <w:t>超期未修一次扣0.5分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6A18E0D0">
            <w:pPr>
              <w:pStyle w:val="4"/>
              <w:jc w:val="both"/>
            </w:pPr>
          </w:p>
        </w:tc>
      </w:tr>
      <w:tr w14:paraId="09C911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vMerge w:val="continue"/>
            <w:tcBorders>
              <w:top w:val="nil"/>
              <w:left w:val="single" w:color="000000" w:sz="4" w:space="0"/>
              <w:bottom w:val="single" w:color="000000" w:sz="4" w:space="0"/>
              <w:right w:val="single" w:color="000000" w:sz="4" w:space="0"/>
            </w:tcBorders>
          </w:tcPr>
          <w:p w14:paraId="512884A6"/>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4E450BDA">
            <w:pPr>
              <w:pStyle w:val="4"/>
              <w:jc w:val="center"/>
            </w:pPr>
            <w:r>
              <w:rPr>
                <w:rFonts w:ascii="仿宋_GB2312" w:hAnsi="仿宋_GB2312" w:eastAsia="仿宋_GB2312" w:cs="仿宋_GB2312"/>
                <w:sz w:val="21"/>
              </w:rPr>
              <w:t>运行安全</w:t>
            </w: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7C675BF4">
            <w:pPr>
              <w:pStyle w:val="4"/>
              <w:jc w:val="both"/>
            </w:pPr>
            <w:r>
              <w:rPr>
                <w:rFonts w:ascii="仿宋_GB2312" w:hAnsi="仿宋_GB2312" w:eastAsia="仿宋_GB2312" w:cs="仿宋_GB2312"/>
                <w:sz w:val="21"/>
              </w:rPr>
              <w:t>年检合格、安全装置有效</w:t>
            </w:r>
          </w:p>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3A37D084">
            <w:pPr>
              <w:pStyle w:val="4"/>
              <w:jc w:val="center"/>
            </w:pPr>
            <w:r>
              <w:rPr>
                <w:rFonts w:ascii="仿宋_GB2312" w:hAnsi="仿宋_GB2312" w:eastAsia="仿宋_GB2312" w:cs="仿宋_GB2312"/>
                <w:sz w:val="21"/>
              </w:rPr>
              <w:t>5</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3082ABB0">
            <w:pPr>
              <w:pStyle w:val="4"/>
              <w:jc w:val="both"/>
            </w:pPr>
            <w:r>
              <w:rPr>
                <w:rFonts w:ascii="仿宋_GB2312" w:hAnsi="仿宋_GB2312" w:eastAsia="仿宋_GB2312" w:cs="仿宋_GB2312"/>
                <w:sz w:val="21"/>
              </w:rPr>
              <w:t>发现问题一处扣0.5分</w:t>
            </w: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54BAD9CB">
            <w:pPr>
              <w:pStyle w:val="4"/>
              <w:jc w:val="both"/>
            </w:pPr>
          </w:p>
        </w:tc>
      </w:tr>
      <w:tr w14:paraId="4039E7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6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48779D3">
            <w:pPr>
              <w:pStyle w:val="4"/>
              <w:jc w:val="center"/>
            </w:pPr>
            <w:r>
              <w:rPr>
                <w:rFonts w:ascii="仿宋_GB2312" w:hAnsi="仿宋_GB2312" w:eastAsia="仿宋_GB2312" w:cs="仿宋_GB2312"/>
                <w:sz w:val="21"/>
              </w:rPr>
              <w:t>总得分</w:t>
            </w:r>
          </w:p>
        </w:tc>
        <w:tc>
          <w:tcPr>
            <w:tcW w:w="962" w:type="dxa"/>
            <w:tcBorders>
              <w:top w:val="nil"/>
              <w:left w:val="nil"/>
              <w:bottom w:val="single" w:color="000000" w:sz="4" w:space="0"/>
              <w:right w:val="single" w:color="000000" w:sz="4" w:space="0"/>
            </w:tcBorders>
            <w:tcMar>
              <w:top w:w="0" w:type="dxa"/>
              <w:left w:w="0" w:type="dxa"/>
              <w:bottom w:w="0" w:type="dxa"/>
              <w:right w:w="0" w:type="dxa"/>
            </w:tcMar>
            <w:vAlign w:val="top"/>
          </w:tcPr>
          <w:p w14:paraId="487CF4C1">
            <w:pPr>
              <w:pStyle w:val="4"/>
              <w:jc w:val="both"/>
            </w:pPr>
          </w:p>
        </w:tc>
        <w:tc>
          <w:tcPr>
            <w:tcW w:w="2359" w:type="dxa"/>
            <w:tcBorders>
              <w:top w:val="nil"/>
              <w:left w:val="nil"/>
              <w:bottom w:val="single" w:color="000000" w:sz="4" w:space="0"/>
              <w:right w:val="single" w:color="000000" w:sz="4" w:space="0"/>
            </w:tcBorders>
            <w:tcMar>
              <w:top w:w="0" w:type="dxa"/>
              <w:left w:w="0" w:type="dxa"/>
              <w:bottom w:w="0" w:type="dxa"/>
              <w:right w:w="0" w:type="dxa"/>
            </w:tcMar>
            <w:vAlign w:val="top"/>
          </w:tcPr>
          <w:p w14:paraId="0505F190"/>
        </w:tc>
        <w:tc>
          <w:tcPr>
            <w:tcW w:w="270" w:type="dxa"/>
            <w:tcBorders>
              <w:top w:val="nil"/>
              <w:left w:val="nil"/>
              <w:bottom w:val="single" w:color="000000" w:sz="4" w:space="0"/>
              <w:right w:val="single" w:color="000000" w:sz="4" w:space="0"/>
            </w:tcBorders>
            <w:tcMar>
              <w:top w:w="0" w:type="dxa"/>
              <w:left w:w="0" w:type="dxa"/>
              <w:bottom w:w="0" w:type="dxa"/>
              <w:right w:w="0" w:type="dxa"/>
            </w:tcMar>
            <w:vAlign w:val="top"/>
          </w:tcPr>
          <w:p w14:paraId="024B7DF5">
            <w:pPr>
              <w:pStyle w:val="4"/>
              <w:jc w:val="center"/>
            </w:pPr>
            <w:r>
              <w:rPr>
                <w:rFonts w:ascii="仿宋_GB2312" w:hAnsi="仿宋_GB2312" w:eastAsia="仿宋_GB2312" w:cs="仿宋_GB2312"/>
                <w:sz w:val="21"/>
              </w:rPr>
              <w:t>100</w:t>
            </w:r>
          </w:p>
        </w:tc>
        <w:tc>
          <w:tcPr>
            <w:tcW w:w="1167" w:type="dxa"/>
            <w:tcBorders>
              <w:top w:val="nil"/>
              <w:left w:val="nil"/>
              <w:bottom w:val="single" w:color="000000" w:sz="4" w:space="0"/>
              <w:right w:val="single" w:color="000000" w:sz="4" w:space="0"/>
            </w:tcBorders>
            <w:tcMar>
              <w:top w:w="0" w:type="dxa"/>
              <w:left w:w="0" w:type="dxa"/>
              <w:bottom w:w="0" w:type="dxa"/>
              <w:right w:w="0" w:type="dxa"/>
            </w:tcMar>
            <w:vAlign w:val="top"/>
          </w:tcPr>
          <w:p w14:paraId="49629D50">
            <w:pPr>
              <w:pStyle w:val="4"/>
              <w:jc w:val="both"/>
            </w:pPr>
          </w:p>
        </w:tc>
        <w:tc>
          <w:tcPr>
            <w:tcW w:w="278" w:type="dxa"/>
            <w:tcBorders>
              <w:top w:val="nil"/>
              <w:left w:val="nil"/>
              <w:bottom w:val="single" w:color="000000" w:sz="4" w:space="0"/>
              <w:right w:val="single" w:color="000000" w:sz="4" w:space="0"/>
            </w:tcBorders>
            <w:tcMar>
              <w:top w:w="0" w:type="dxa"/>
              <w:left w:w="0" w:type="dxa"/>
              <w:bottom w:w="0" w:type="dxa"/>
              <w:right w:w="0" w:type="dxa"/>
            </w:tcMar>
            <w:vAlign w:val="top"/>
          </w:tcPr>
          <w:p w14:paraId="3E753023"/>
        </w:tc>
      </w:tr>
    </w:tbl>
    <w:p w14:paraId="200BE1E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81D12"/>
    <w:rsid w:val="73D81D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2025-09-30T06:50:00Z</dcterms:created>
  <dc:creator>所谓无所谓</dc:creator>
  <cp:lastModifiedBy>所谓无所谓</cp:lastModifiedBy>
  <dcterms:modified xsi:type="dcterms:W3CDTF">2025-09-30T07:15:53Z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18B4AAA45DE84C83A9F33DD1FA47B1ED_11</vt:lpwstr>
  </property>
  <property fmtid="{D5CDD505-2E9C-101B-9397-08002B2CF9AE}" pid="4" name="KSOTemplateDocerSaveRecord">
    <vt:lpwstr>eyJoZGlkIjoiYTJmZjk3ZjkwZDMwZGRjMGE4YmYxMzFjYjE1ZGYzZDUiLCJ1c2VySWQiOiIyNjkyMzU5MTkifQ==</vt:lpwstr>
  </property>
</Properties>
</file>