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55E34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kern w:val="44"/>
          <w:sz w:val="48"/>
          <w:szCs w:val="20"/>
        </w:rPr>
      </w:pPr>
      <w:bookmarkStart w:id="2" w:name="_GoBack"/>
      <w:bookmarkEnd w:id="2"/>
      <w:bookmarkStart w:id="0" w:name="_Toc129880039"/>
      <w:bookmarkStart w:id="1" w:name="_Toc512937852"/>
      <w:r>
        <w:rPr>
          <w:rFonts w:hint="eastAsia" w:ascii="宋体" w:hAnsi="宋体"/>
          <w:b/>
          <w:sz w:val="30"/>
          <w:szCs w:val="30"/>
        </w:rPr>
        <w:t>第八部分 采购需求</w:t>
      </w:r>
      <w:bookmarkEnd w:id="0"/>
    </w:p>
    <w:p w14:paraId="13ABCE08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货物需求一览表</w:t>
      </w:r>
    </w:p>
    <w:p w14:paraId="410BB3EA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38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2B09CB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vAlign w:val="center"/>
          </w:tcPr>
          <w:p w14:paraId="7901FBE2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357" w:type="dxa"/>
            <w:vAlign w:val="center"/>
          </w:tcPr>
          <w:p w14:paraId="5C29122C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1329" w:type="dxa"/>
            <w:vAlign w:val="center"/>
          </w:tcPr>
          <w:p w14:paraId="2EAB129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2470" w:type="dxa"/>
            <w:vAlign w:val="center"/>
          </w:tcPr>
          <w:p w14:paraId="73F57802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是否接受进口</w:t>
            </w:r>
          </w:p>
        </w:tc>
      </w:tr>
      <w:tr w14:paraId="4F6B22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vAlign w:val="center"/>
          </w:tcPr>
          <w:p w14:paraId="31C93C70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2357" w:type="dxa"/>
            <w:vAlign w:val="center"/>
          </w:tcPr>
          <w:p w14:paraId="10206B02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hint="eastAsia" w:ascii="Bookman Old Style" w:hAnsi="Bookman Old Style"/>
                <w:sz w:val="24"/>
              </w:rPr>
              <w:t>空气动力辅助离子化质谱成像系统</w:t>
            </w:r>
          </w:p>
        </w:tc>
        <w:tc>
          <w:tcPr>
            <w:tcW w:w="1329" w:type="dxa"/>
            <w:vAlign w:val="center"/>
          </w:tcPr>
          <w:p w14:paraId="46B5E8CB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1台</w:t>
            </w:r>
          </w:p>
        </w:tc>
        <w:tc>
          <w:tcPr>
            <w:tcW w:w="2470" w:type="dxa"/>
            <w:vAlign w:val="center"/>
          </w:tcPr>
          <w:p w14:paraId="4BB08F02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否</w:t>
            </w:r>
          </w:p>
        </w:tc>
      </w:tr>
    </w:tbl>
    <w:p w14:paraId="5C1F5192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38892362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001F3C2D"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49542818">
      <w:pPr>
        <w:adjustRightInd w:val="0"/>
        <w:snapToGrid w:val="0"/>
        <w:rPr>
          <w:rFonts w:hint="eastAsia" w:ascii="宋体" w:hAnsi="宋体"/>
          <w:szCs w:val="21"/>
        </w:rPr>
      </w:pPr>
    </w:p>
    <w:p w14:paraId="3C92FED5">
      <w:pPr>
        <w:adjustRightInd w:val="0"/>
        <w:snapToGrid w:val="0"/>
        <w:rPr>
          <w:rFonts w:hint="eastAsia" w:ascii="宋体" w:hAnsi="宋体"/>
          <w:szCs w:val="21"/>
        </w:rPr>
      </w:pPr>
    </w:p>
    <w:p w14:paraId="6E46F8A2">
      <w:pPr>
        <w:adjustRightInd w:val="0"/>
        <w:snapToGrid w:val="0"/>
        <w:rPr>
          <w:rFonts w:hint="eastAsia" w:ascii="宋体" w:hAnsi="宋体"/>
          <w:szCs w:val="21"/>
        </w:rPr>
      </w:pPr>
    </w:p>
    <w:p w14:paraId="33BD5517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30"/>
          <w:szCs w:val="30"/>
        </w:rPr>
        <w:br w:type="page"/>
      </w:r>
      <w:r>
        <w:rPr>
          <w:rFonts w:hint="eastAsia" w:ascii="宋体" w:hAnsi="宋体"/>
          <w:b/>
          <w:sz w:val="28"/>
          <w:szCs w:val="28"/>
        </w:rPr>
        <w:t>一、总则</w:t>
      </w:r>
    </w:p>
    <w:p w14:paraId="01761F1D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1</w:t>
      </w:r>
      <w:r>
        <w:rPr>
          <w:rFonts w:hint="eastAsia" w:ascii="宋体" w:hAnsi="宋体"/>
          <w:b/>
          <w:sz w:val="28"/>
          <w:szCs w:val="28"/>
        </w:rPr>
        <w:t>、投标要求</w:t>
      </w:r>
    </w:p>
    <w:p w14:paraId="2B944127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71942FAF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5CF652F5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</w:t>
      </w:r>
    </w:p>
    <w:p w14:paraId="70D96555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5F115009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2、评标标准</w:t>
      </w:r>
    </w:p>
    <w:p w14:paraId="36384150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272E5DF3">
      <w:pPr>
        <w:spacing w:line="360" w:lineRule="auto"/>
        <w:ind w:left="554" w:hanging="554" w:hangingChars="231"/>
        <w:rPr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38D6FC7C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2AA0E648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79AF2BB3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502C602C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3、工作条件</w:t>
      </w:r>
    </w:p>
    <w:p w14:paraId="5172526C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29D0DC4B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4C9FE1AB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2CA12E58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3E7BBBE9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2BE4C099">
      <w:pPr>
        <w:rPr>
          <w:rFonts w:eastAsia="黑体"/>
          <w:b/>
          <w:bCs/>
          <w:kern w:val="44"/>
          <w:sz w:val="24"/>
        </w:rPr>
      </w:pPr>
    </w:p>
    <w:p w14:paraId="01BD7717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4、验收标准</w:t>
      </w:r>
    </w:p>
    <w:p w14:paraId="5C8E6819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5E3C7082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 w14:paraId="4FB50B82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6F8763B9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3809A6D2">
      <w:pPr>
        <w:pStyle w:val="20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</w:p>
    <w:p w14:paraId="65518E71">
      <w:pPr>
        <w:adjustRightInd w:val="0"/>
        <w:snapToGrid w:val="0"/>
        <w:spacing w:line="360" w:lineRule="auto"/>
        <w:rPr>
          <w:rFonts w:hint="eastAsia" w:hAnsi="宋体"/>
          <w:b/>
          <w:sz w:val="24"/>
        </w:rPr>
      </w:pPr>
      <w:r>
        <w:rPr>
          <w:rFonts w:hint="eastAsia"/>
          <w:b/>
          <w:bCs/>
          <w:sz w:val="24"/>
        </w:rPr>
        <w:t>5、本采购需求书中标注“★”号技术条款的为实质性要求，不满足其投标将视为无效投标被拒绝。</w:t>
      </w:r>
    </w:p>
    <w:p w14:paraId="04D2822F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</w:rPr>
      </w:pPr>
    </w:p>
    <w:p w14:paraId="1AD90597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6、如在具体技术规格中有本总则不一致之处，以具体技术规格中的要求为准。</w:t>
      </w:r>
    </w:p>
    <w:p w14:paraId="12B83465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二、具体技术规格</w:t>
      </w:r>
    </w:p>
    <w:p w14:paraId="3FBEC58E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空气动力辅助离子化质谱成像系统</w:t>
      </w:r>
    </w:p>
    <w:p w14:paraId="14ADC1A3">
      <w:pPr>
        <w:rPr>
          <w:b/>
          <w:sz w:val="24"/>
        </w:rPr>
      </w:pPr>
    </w:p>
    <w:p w14:paraId="68EA5704">
      <w:pPr>
        <w:rPr>
          <w:b/>
          <w:sz w:val="24"/>
        </w:rPr>
      </w:pPr>
      <w:r>
        <w:rPr>
          <w:rFonts w:hint="eastAsia"/>
          <w:b/>
          <w:sz w:val="24"/>
        </w:rPr>
        <w:t>（一）技术要求：</w:t>
      </w:r>
    </w:p>
    <w:p w14:paraId="01191544">
      <w:pPr>
        <w:rPr>
          <w:b/>
          <w:sz w:val="24"/>
        </w:rPr>
      </w:pPr>
    </w:p>
    <w:p w14:paraId="3A5178E4">
      <w:pPr>
        <w:spacing w:line="360" w:lineRule="auto"/>
        <w:ind w:left="360" w:hanging="360"/>
        <w:rPr>
          <w:b/>
          <w:sz w:val="24"/>
        </w:rPr>
      </w:pPr>
      <w:r>
        <w:rPr>
          <w:rFonts w:hint="eastAsia"/>
          <w:b/>
          <w:sz w:val="24"/>
        </w:rPr>
        <w:t>1.工作条件：</w:t>
      </w:r>
    </w:p>
    <w:p w14:paraId="62979C97">
      <w:pPr>
        <w:spacing w:line="360" w:lineRule="auto"/>
        <w:rPr>
          <w:sz w:val="24"/>
        </w:rPr>
      </w:pPr>
      <w:r>
        <w:rPr>
          <w:rFonts w:hint="eastAsia"/>
          <w:sz w:val="24"/>
        </w:rPr>
        <w:t>1</w:t>
      </w:r>
      <w:r>
        <w:rPr>
          <w:sz w:val="24"/>
        </w:rPr>
        <w:t>.1</w:t>
      </w:r>
      <w:r>
        <w:rPr>
          <w:rFonts w:hint="eastAsia"/>
          <w:sz w:val="24"/>
        </w:rPr>
        <w:t xml:space="preserve"> 环境温度：15℃至30℃，波动不超过±2℃/h，相对湿度20%至50%，无凝露，同时需避免粉尘。</w:t>
      </w:r>
    </w:p>
    <w:p w14:paraId="6D5F4962">
      <w:pPr>
        <w:spacing w:line="360" w:lineRule="auto"/>
        <w:rPr>
          <w:position w:val="-14"/>
          <w:sz w:val="24"/>
        </w:rPr>
      </w:pPr>
      <w:r>
        <w:rPr>
          <w:position w:val="-20"/>
          <w:sz w:val="24"/>
        </w:rPr>
        <w:t xml:space="preserve">1.2 </w:t>
      </w:r>
      <w:r>
        <w:rPr>
          <w:rFonts w:hint="eastAsia"/>
          <w:position w:val="-20"/>
          <w:sz w:val="24"/>
        </w:rPr>
        <w:t>实验室环境，地面平整、无明显振动，远离强磁场、强电场及大功率干扰设备。</w:t>
      </w:r>
    </w:p>
    <w:p w14:paraId="7B8F3074">
      <w:pPr>
        <w:spacing w:line="360" w:lineRule="auto"/>
        <w:ind w:left="435" w:firstLine="240"/>
        <w:rPr>
          <w:sz w:val="24"/>
        </w:rPr>
      </w:pPr>
    </w:p>
    <w:p w14:paraId="3F42DC15">
      <w:pPr>
        <w:spacing w:line="360" w:lineRule="auto"/>
        <w:ind w:left="360" w:hanging="360"/>
        <w:rPr>
          <w:b/>
          <w:sz w:val="24"/>
        </w:rPr>
      </w:pPr>
      <w:r>
        <w:rPr>
          <w:rFonts w:hint="eastAsia"/>
          <w:b/>
          <w:sz w:val="24"/>
        </w:rPr>
        <w:t>2.设备用途：</w:t>
      </w:r>
    </w:p>
    <w:p w14:paraId="0301FAE8">
      <w:pPr>
        <w:pStyle w:val="22"/>
        <w:spacing w:line="360" w:lineRule="auto"/>
        <w:ind w:firstLine="480" w:firstLineChars="200"/>
        <w:rPr>
          <w:sz w:val="24"/>
        </w:rPr>
      </w:pPr>
      <w:r>
        <w:rPr>
          <w:rFonts w:hint="eastAsia" w:ascii="Bookman Old Style" w:hAnsi="Bookman Old Style"/>
          <w:sz w:val="24"/>
        </w:rPr>
        <w:t>空气动力辅助离子化质谱成像系统</w:t>
      </w:r>
      <w:r>
        <w:rPr>
          <w:rFonts w:hint="eastAsia"/>
          <w:sz w:val="24"/>
        </w:rPr>
        <w:t>主要用于对脂质、代谢物、药物分子、污染物、小分子化合物及部分生物标志物进行原位质谱成像，从而研究不同区域内化学组分差异、药物在组织中的分布、病理组织分子特征、材料表面污染或修饰状态等。</w:t>
      </w:r>
    </w:p>
    <w:p w14:paraId="57F7FE90"/>
    <w:p w14:paraId="7E03519F">
      <w:pPr>
        <w:spacing w:line="360" w:lineRule="auto"/>
        <w:ind w:left="360" w:hanging="360"/>
        <w:rPr>
          <w:b/>
          <w:sz w:val="24"/>
        </w:rPr>
      </w:pPr>
      <w:r>
        <w:rPr>
          <w:rFonts w:hint="eastAsia"/>
          <w:b/>
          <w:sz w:val="24"/>
        </w:rPr>
        <w:t>3.技术规格：</w:t>
      </w:r>
    </w:p>
    <w:p w14:paraId="605F3B92">
      <w:pPr>
        <w:spacing w:line="360" w:lineRule="auto"/>
        <w:rPr>
          <w:sz w:val="24"/>
        </w:rPr>
      </w:pPr>
      <w:r>
        <w:rPr>
          <w:rFonts w:hint="eastAsia"/>
          <w:sz w:val="24"/>
        </w:rPr>
        <w:t>★3.1 空间分辨率：实际空间分辨率≤10µm；</w:t>
      </w:r>
    </w:p>
    <w:p w14:paraId="407D35B8">
      <w:pPr>
        <w:spacing w:line="360" w:lineRule="auto"/>
        <w:rPr>
          <w:sz w:val="24"/>
        </w:rPr>
      </w:pPr>
      <w:r>
        <w:rPr>
          <w:rFonts w:hint="eastAsia"/>
          <w:sz w:val="24"/>
        </w:rPr>
        <w:t>#3.2 离子源切换：离子源室需支持快速安装与拆卸。实现与其它离子源（如ESI）的切换，无需破坏质谱真空。</w:t>
      </w:r>
    </w:p>
    <w:p w14:paraId="1E8299FB">
      <w:pPr>
        <w:spacing w:line="360" w:lineRule="auto"/>
        <w:rPr>
          <w:sz w:val="24"/>
        </w:rPr>
      </w:pPr>
      <w:r>
        <w:rPr>
          <w:rFonts w:hint="eastAsia"/>
          <w:sz w:val="24"/>
        </w:rPr>
        <w:t>★3.3 离子化技术：采用纳升解吸电喷雾电离技术。</w:t>
      </w:r>
    </w:p>
    <w:p w14:paraId="1359E643">
      <w:pPr>
        <w:spacing w:line="360" w:lineRule="auto"/>
        <w:rPr>
          <w:sz w:val="24"/>
        </w:rPr>
      </w:pPr>
      <w:r>
        <w:rPr>
          <w:rFonts w:hint="eastAsia"/>
          <w:sz w:val="24"/>
        </w:rPr>
        <w:t>#3.4 喷雾电压：工作电压范围需覆盖0至±6000V，连续可调。</w:t>
      </w:r>
    </w:p>
    <w:p w14:paraId="7AE35507">
      <w:pPr>
        <w:spacing w:line="360" w:lineRule="auto"/>
        <w:rPr>
          <w:sz w:val="24"/>
        </w:rPr>
      </w:pPr>
      <w:r>
        <w:rPr>
          <w:rFonts w:hint="eastAsia"/>
          <w:sz w:val="24"/>
        </w:rPr>
        <w:t>#3.5 无需基质喷涂或衍生化处理，直接将切片放置于离子源种即可检测分析。</w:t>
      </w:r>
    </w:p>
    <w:p w14:paraId="7E41F2B0">
      <w:pPr>
        <w:spacing w:line="360" w:lineRule="auto"/>
        <w:rPr>
          <w:sz w:val="24"/>
        </w:rPr>
      </w:pPr>
      <w:r>
        <w:rPr>
          <w:rFonts w:hint="eastAsia"/>
          <w:sz w:val="24"/>
        </w:rPr>
        <w:t>★3.6 溶剂流速范围：</w:t>
      </w:r>
      <w:r>
        <w:rPr>
          <w:sz w:val="24"/>
        </w:rPr>
        <w:t>0</w:t>
      </w:r>
      <w:r>
        <w:rPr>
          <w:rFonts w:hint="eastAsia"/>
          <w:sz w:val="24"/>
        </w:rPr>
        <w:t>-500 nL/min。</w:t>
      </w:r>
    </w:p>
    <w:p w14:paraId="43084199">
      <w:pPr>
        <w:spacing w:line="360" w:lineRule="auto"/>
        <w:rPr>
          <w:sz w:val="24"/>
        </w:rPr>
      </w:pPr>
      <w:r>
        <w:rPr>
          <w:rFonts w:hint="eastAsia"/>
          <w:sz w:val="24"/>
        </w:rPr>
        <w:t>#3.7 采用一体化光刻液桥芯片设计，可精确调节芯片与样品表面高度，0</w:t>
      </w:r>
      <w:r>
        <w:rPr>
          <w:sz w:val="24"/>
        </w:rPr>
        <w:t>-50</w:t>
      </w:r>
      <w:r>
        <w:rPr>
          <w:rFonts w:hint="eastAsia"/>
          <w:sz w:val="24"/>
        </w:rPr>
        <w:t>μm可调节。</w:t>
      </w:r>
    </w:p>
    <w:p w14:paraId="2EC96792">
      <w:pPr>
        <w:spacing w:line="360" w:lineRule="auto"/>
        <w:rPr>
          <w:sz w:val="24"/>
        </w:rPr>
      </w:pPr>
      <w:r>
        <w:rPr>
          <w:rFonts w:hint="eastAsia"/>
          <w:sz w:val="24"/>
        </w:rPr>
        <w:t>3.8 质谱成像操作软件</w:t>
      </w:r>
    </w:p>
    <w:p w14:paraId="7F970F79">
      <w:pPr>
        <w:spacing w:line="360" w:lineRule="auto"/>
        <w:rPr>
          <w:sz w:val="24"/>
        </w:rPr>
      </w:pPr>
      <w:r>
        <w:rPr>
          <w:rFonts w:hint="eastAsia"/>
          <w:sz w:val="24"/>
        </w:rPr>
        <w:t>3.8.1 精确圈选检测区域。</w:t>
      </w:r>
    </w:p>
    <w:p w14:paraId="61398114">
      <w:pPr>
        <w:spacing w:line="360" w:lineRule="auto"/>
        <w:rPr>
          <w:sz w:val="24"/>
        </w:rPr>
      </w:pPr>
      <w:r>
        <w:rPr>
          <w:rFonts w:hint="eastAsia"/>
          <w:sz w:val="24"/>
        </w:rPr>
        <w:t>3.8.2 精确控制溶剂流速。</w:t>
      </w:r>
    </w:p>
    <w:p w14:paraId="7619BA4C">
      <w:pPr>
        <w:spacing w:line="360" w:lineRule="auto"/>
        <w:rPr>
          <w:sz w:val="24"/>
        </w:rPr>
      </w:pPr>
      <w:r>
        <w:rPr>
          <w:rFonts w:hint="eastAsia"/>
          <w:sz w:val="24"/>
        </w:rPr>
        <w:t>3.8.3 载板台移动速度及步进可调节。</w:t>
      </w:r>
    </w:p>
    <w:p w14:paraId="540CF43D">
      <w:pPr>
        <w:spacing w:line="360" w:lineRule="auto"/>
        <w:rPr>
          <w:sz w:val="24"/>
        </w:rPr>
      </w:pPr>
      <w:r>
        <w:rPr>
          <w:rFonts w:hint="eastAsia"/>
          <w:sz w:val="24"/>
        </w:rPr>
        <w:t>#3.8.4 精准设置芯片高度。</w:t>
      </w:r>
    </w:p>
    <w:p w14:paraId="1002A11A">
      <w:pPr>
        <w:spacing w:line="360" w:lineRule="auto"/>
        <w:rPr>
          <w:sz w:val="24"/>
        </w:rPr>
      </w:pPr>
      <w:r>
        <w:rPr>
          <w:rFonts w:hint="eastAsia"/>
          <w:sz w:val="24"/>
        </w:rPr>
        <w:t>3.8.5 准确定位样品空间坐标。</w:t>
      </w:r>
    </w:p>
    <w:p w14:paraId="4FEB2D39">
      <w:pPr>
        <w:spacing w:line="360" w:lineRule="auto"/>
        <w:rPr>
          <w:sz w:val="24"/>
        </w:rPr>
      </w:pPr>
      <w:r>
        <w:rPr>
          <w:rFonts w:hint="eastAsia"/>
          <w:sz w:val="24"/>
        </w:rPr>
        <w:t>3.8.6 自动或手动启动和终止成像过程。</w:t>
      </w:r>
    </w:p>
    <w:p w14:paraId="0C32C830">
      <w:pPr>
        <w:spacing w:line="360" w:lineRule="auto"/>
        <w:rPr>
          <w:sz w:val="24"/>
        </w:rPr>
      </w:pPr>
      <w:r>
        <w:rPr>
          <w:rFonts w:hint="eastAsia"/>
          <w:sz w:val="24"/>
        </w:rPr>
        <w:t>#3.9 内置显微成像系统，用于观察待测样品表面情况。</w:t>
      </w:r>
    </w:p>
    <w:p w14:paraId="1336A32C">
      <w:pPr>
        <w:spacing w:line="360" w:lineRule="auto"/>
        <w:rPr>
          <w:sz w:val="24"/>
        </w:rPr>
      </w:pPr>
      <w:r>
        <w:rPr>
          <w:rFonts w:hint="eastAsia"/>
          <w:sz w:val="24"/>
        </w:rPr>
        <w:t>#3.10 载板台移动精度：</w:t>
      </w:r>
      <w:r>
        <w:rPr>
          <w:sz w:val="24"/>
        </w:rPr>
        <w:t>X、Y轴可在0–50 mm范围内连续移动</w:t>
      </w:r>
      <w:r>
        <w:rPr>
          <w:rFonts w:hint="eastAsia"/>
          <w:sz w:val="24"/>
        </w:rPr>
        <w:t>，最小移动步径≤1µm。</w:t>
      </w:r>
      <w:r>
        <w:rPr>
          <w:sz w:val="24"/>
        </w:rPr>
        <w:t xml:space="preserve"> </w:t>
      </w:r>
    </w:p>
    <w:p w14:paraId="321E7845">
      <w:pPr>
        <w:spacing w:line="360" w:lineRule="auto"/>
        <w:rPr>
          <w:sz w:val="24"/>
        </w:rPr>
      </w:pPr>
      <w:r>
        <w:rPr>
          <w:rFonts w:hint="eastAsia"/>
          <w:sz w:val="24"/>
        </w:rPr>
        <w:t>#3.11 高通量能力：样品台兼容2块标准载玻片。</w:t>
      </w:r>
    </w:p>
    <w:p w14:paraId="55F8CC20">
      <w:pPr>
        <w:spacing w:line="360" w:lineRule="auto"/>
        <w:rPr>
          <w:sz w:val="24"/>
        </w:rPr>
      </w:pPr>
      <w:r>
        <w:rPr>
          <w:rFonts w:hint="eastAsia"/>
          <w:sz w:val="24"/>
        </w:rPr>
        <w:t>3.12 质谱成像数据处理软件（终身免费）</w:t>
      </w:r>
    </w:p>
    <w:p w14:paraId="44BBD864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3.12.1 支持质谱原始数据转化生成成像分析的整体数据集合； </w:t>
      </w:r>
    </w:p>
    <w:p w14:paraId="75695C53">
      <w:pPr>
        <w:spacing w:line="360" w:lineRule="auto"/>
        <w:rPr>
          <w:sz w:val="24"/>
        </w:rPr>
      </w:pPr>
      <w:r>
        <w:rPr>
          <w:rFonts w:hint="eastAsia"/>
          <w:sz w:val="24"/>
        </w:rPr>
        <w:t>3.12.2 自动或手动生成化合物的高分辨率二维质谱成像图；</w:t>
      </w:r>
    </w:p>
    <w:p w14:paraId="6607E0D9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3.12.3 具有多化合物质谱成像图的叠加显示功能； </w:t>
      </w:r>
    </w:p>
    <w:p w14:paraId="5749D90B">
      <w:pPr>
        <w:spacing w:line="360" w:lineRule="auto"/>
        <w:rPr>
          <w:sz w:val="24"/>
        </w:rPr>
      </w:pPr>
      <w:r>
        <w:rPr>
          <w:rFonts w:hint="eastAsia"/>
          <w:sz w:val="24"/>
        </w:rPr>
        <w:t>#3.12.4 兼容多种数据格式：质谱数据格式包括.raw、imzML</w:t>
      </w:r>
    </w:p>
    <w:p w14:paraId="471870A2">
      <w:pPr>
        <w:spacing w:line="360" w:lineRule="auto"/>
        <w:rPr>
          <w:sz w:val="24"/>
        </w:rPr>
      </w:pPr>
      <w:r>
        <w:rPr>
          <w:rFonts w:hint="eastAsia"/>
          <w:sz w:val="24"/>
        </w:rPr>
        <w:t>#3.13 隔膜真空泵： 流量范围：0-20 L/min</w:t>
      </w:r>
    </w:p>
    <w:p w14:paraId="0FA5D770">
      <w:pPr>
        <w:spacing w:line="360" w:lineRule="auto"/>
        <w:rPr>
          <w:sz w:val="24"/>
          <w:szCs w:val="21"/>
        </w:rPr>
      </w:pPr>
      <w:r>
        <w:rPr>
          <w:sz w:val="24"/>
        </w:rPr>
        <w:t>3</w:t>
      </w:r>
      <w:r>
        <w:rPr>
          <w:rFonts w:hint="eastAsia"/>
          <w:sz w:val="24"/>
        </w:rPr>
        <w:t>.14工作站要求：</w:t>
      </w:r>
      <w:r>
        <w:rPr>
          <w:sz w:val="24"/>
          <w:szCs w:val="21"/>
        </w:rPr>
        <w:t>内存≥16 GB，固态硬盘容量≥1 TB；预装正版64位专业版操作系统；配置RJ45有线网络接口，支持本地网络连接；独立USB 3.0接口≥3个；配备≥27英寸显示器，分辨率≥1920 × 1080</w:t>
      </w:r>
    </w:p>
    <w:p w14:paraId="3E3061D0">
      <w:pPr>
        <w:spacing w:line="360" w:lineRule="auto"/>
        <w:rPr>
          <w:rStyle w:val="46"/>
          <w:sz w:val="24"/>
          <w:szCs w:val="24"/>
        </w:rPr>
      </w:pPr>
    </w:p>
    <w:p w14:paraId="68469C55">
      <w:pPr>
        <w:spacing w:line="360" w:lineRule="auto"/>
        <w:ind w:left="360" w:hanging="360"/>
        <w:rPr>
          <w:b/>
          <w:sz w:val="24"/>
        </w:rPr>
      </w:pPr>
      <w:r>
        <w:rPr>
          <w:rFonts w:hint="eastAsia"/>
          <w:b/>
          <w:sz w:val="24"/>
        </w:rPr>
        <w:t>4.产品配置要求</w:t>
      </w:r>
    </w:p>
    <w:p w14:paraId="77E84F01">
      <w:pPr>
        <w:numPr>
          <w:ilvl w:val="1"/>
          <w:numId w:val="0"/>
        </w:numPr>
        <w:spacing w:line="360" w:lineRule="auto"/>
        <w:ind w:left="360" w:hanging="360"/>
        <w:rPr>
          <w:sz w:val="24"/>
        </w:rPr>
      </w:pPr>
      <w:r>
        <w:rPr>
          <w:rFonts w:hint="eastAsia"/>
          <w:sz w:val="24"/>
        </w:rPr>
        <w:t>4.1 产品主体部分说明</w:t>
      </w:r>
    </w:p>
    <w:p w14:paraId="262BC94F">
      <w:pPr>
        <w:spacing w:line="360" w:lineRule="auto"/>
        <w:rPr>
          <w:sz w:val="24"/>
        </w:rPr>
      </w:pPr>
      <w:r>
        <w:rPr>
          <w:rFonts w:hint="eastAsia"/>
          <w:sz w:val="24"/>
        </w:rPr>
        <w:t>4.1.1液桥芯片模块1套</w:t>
      </w:r>
    </w:p>
    <w:p w14:paraId="78D69D8F">
      <w:pPr>
        <w:spacing w:line="360" w:lineRule="auto"/>
        <w:rPr>
          <w:sz w:val="24"/>
        </w:rPr>
      </w:pPr>
      <w:r>
        <w:rPr>
          <w:rFonts w:hint="eastAsia"/>
          <w:sz w:val="24"/>
        </w:rPr>
        <w:t>4.1.2高精度样品载板平台1套</w:t>
      </w:r>
    </w:p>
    <w:p w14:paraId="5C676A30">
      <w:pPr>
        <w:spacing w:line="360" w:lineRule="auto"/>
        <w:rPr>
          <w:sz w:val="24"/>
        </w:rPr>
      </w:pPr>
      <w:r>
        <w:rPr>
          <w:rFonts w:hint="eastAsia"/>
          <w:sz w:val="24"/>
        </w:rPr>
        <w:t>4.1.3电喷雾高压控制模块1套</w:t>
      </w:r>
    </w:p>
    <w:p w14:paraId="06619B5E">
      <w:pPr>
        <w:spacing w:line="360" w:lineRule="auto"/>
        <w:rPr>
          <w:sz w:val="24"/>
        </w:rPr>
      </w:pPr>
      <w:r>
        <w:rPr>
          <w:rFonts w:hint="eastAsia"/>
          <w:sz w:val="24"/>
        </w:rPr>
        <w:t>4.1.4</w:t>
      </w:r>
      <w:r>
        <w:rPr>
          <w:sz w:val="24"/>
        </w:rPr>
        <w:t>离子传输与质谱接口模块</w:t>
      </w:r>
      <w:r>
        <w:rPr>
          <w:rFonts w:hint="eastAsia"/>
          <w:sz w:val="24"/>
        </w:rPr>
        <w:t>1套</w:t>
      </w:r>
    </w:p>
    <w:p w14:paraId="69921626">
      <w:pPr>
        <w:spacing w:line="360" w:lineRule="auto"/>
        <w:rPr>
          <w:sz w:val="24"/>
        </w:rPr>
      </w:pPr>
      <w:r>
        <w:rPr>
          <w:rFonts w:hint="eastAsia"/>
          <w:sz w:val="24"/>
        </w:rPr>
        <w:t>4.1.5控制与数据处理软件1套</w:t>
      </w:r>
    </w:p>
    <w:p w14:paraId="2468A811">
      <w:pPr>
        <w:spacing w:line="360" w:lineRule="auto"/>
        <w:rPr>
          <w:sz w:val="24"/>
        </w:rPr>
      </w:pPr>
      <w:r>
        <w:rPr>
          <w:rFonts w:hint="eastAsia"/>
          <w:sz w:val="24"/>
        </w:rPr>
        <w:t>4.2 要求的附件、专用工具和消耗品</w:t>
      </w:r>
    </w:p>
    <w:p w14:paraId="5E045C1B"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.2.</w:t>
      </w:r>
      <w:r>
        <w:rPr>
          <w:rFonts w:hint="eastAsia"/>
          <w:sz w:val="24"/>
        </w:rPr>
        <w:t>1纳升流量溶剂输送管路套件1套</w:t>
      </w:r>
    </w:p>
    <w:p w14:paraId="684E6008">
      <w:pPr>
        <w:spacing w:line="360" w:lineRule="auto"/>
        <w:rPr>
          <w:sz w:val="24"/>
        </w:rPr>
      </w:pPr>
      <w:r>
        <w:rPr>
          <w:rFonts w:hint="eastAsia"/>
          <w:sz w:val="24"/>
        </w:rPr>
        <w:t>4.2.2微量注射器1套</w:t>
      </w:r>
    </w:p>
    <w:p w14:paraId="21C70626">
      <w:pPr>
        <w:spacing w:line="360" w:lineRule="auto"/>
        <w:rPr>
          <w:sz w:val="24"/>
        </w:rPr>
      </w:pPr>
      <w:r>
        <w:rPr>
          <w:rFonts w:hint="eastAsia"/>
          <w:sz w:val="24"/>
        </w:rPr>
        <w:t>4.2.3常规载玻片10盒</w:t>
      </w:r>
    </w:p>
    <w:p w14:paraId="6B43A137">
      <w:pPr>
        <w:tabs>
          <w:tab w:val="left" w:pos="540"/>
        </w:tabs>
        <w:spacing w:line="360" w:lineRule="auto"/>
        <w:rPr>
          <w:sz w:val="24"/>
        </w:rPr>
      </w:pPr>
      <w:r>
        <w:rPr>
          <w:rFonts w:hint="eastAsia"/>
          <w:sz w:val="24"/>
        </w:rPr>
        <w:t>4.2.4 隔膜真空泵 1 台</w:t>
      </w:r>
    </w:p>
    <w:p w14:paraId="6D6E5B37">
      <w:pPr>
        <w:tabs>
          <w:tab w:val="left" w:pos="540"/>
        </w:tabs>
        <w:spacing w:line="360" w:lineRule="auto"/>
        <w:rPr>
          <w:sz w:val="24"/>
        </w:rPr>
      </w:pPr>
    </w:p>
    <w:p w14:paraId="1C8CAAC7">
      <w:pPr>
        <w:tabs>
          <w:tab w:val="left" w:pos="540"/>
        </w:tabs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5.  技术文件：</w:t>
      </w:r>
    </w:p>
    <w:p w14:paraId="5B804811">
      <w:pPr>
        <w:adjustRightInd w:val="0"/>
        <w:snapToGrid w:val="0"/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5.1安装条件准备文件。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份。</w:t>
      </w:r>
    </w:p>
    <w:p w14:paraId="6359A1B8">
      <w:pPr>
        <w:adjustRightInd w:val="0"/>
        <w:snapToGrid w:val="0"/>
        <w:spacing w:line="360" w:lineRule="auto"/>
        <w:jc w:val="left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5.2操作手册。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份。</w:t>
      </w:r>
    </w:p>
    <w:p w14:paraId="6360AF68">
      <w:pPr>
        <w:spacing w:line="360" w:lineRule="auto"/>
        <w:rPr>
          <w:b/>
          <w:sz w:val="24"/>
        </w:rPr>
      </w:pPr>
    </w:p>
    <w:p w14:paraId="009DFF1E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（二）质保及售后服务：</w:t>
      </w:r>
    </w:p>
    <w:p w14:paraId="4850CB42">
      <w:pPr>
        <w:adjustRightInd w:val="0"/>
        <w:snapToGrid w:val="0"/>
        <w:spacing w:line="360" w:lineRule="auto"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设备安装调试：</w:t>
      </w:r>
    </w:p>
    <w:p w14:paraId="5E928701">
      <w:pPr>
        <w:adjustRightInd w:val="0"/>
        <w:snapToGrid w:val="0"/>
        <w:spacing w:line="360" w:lineRule="auto"/>
        <w:ind w:firstLine="42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现场安装应在设备检查、清点合格后开始。设备安装前，设备供应商应提前以书面形式告知用户方设备安装条件；设备安装、调试应在到货后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color w:val="000000" w:themeColor="text1"/>
          <w:sz w:val="24"/>
          <w:lang w:eastAsia="zh-Hans"/>
          <w14:textFill>
            <w14:solidFill>
              <w14:schemeClr w14:val="tx1"/>
            </w14:solidFill>
          </w14:textFill>
        </w:rPr>
        <w:t>个月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内完成。</w:t>
      </w:r>
    </w:p>
    <w:p w14:paraId="36522979">
      <w:pPr>
        <w:adjustRightInd w:val="0"/>
        <w:snapToGrid w:val="0"/>
        <w:spacing w:line="360" w:lineRule="auto"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技术培训：</w:t>
      </w:r>
    </w:p>
    <w:p w14:paraId="090DE752">
      <w:pPr>
        <w:adjustRightInd w:val="0"/>
        <w:snapToGrid w:val="0"/>
        <w:spacing w:line="360" w:lineRule="auto"/>
        <w:ind w:firstLine="42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到货安装调试完成，由专业工程师免费现场提供一次系统的使用操作培训服务，直至用户相关人员熟练掌握为止。安装验收后，在安装半年内或用户指定时间另外提供一次现场培训，培训内容包括仪器原理、高级操作、日常仪器维护等。</w:t>
      </w:r>
    </w:p>
    <w:p w14:paraId="79337862">
      <w:pPr>
        <w:adjustRightInd w:val="0"/>
        <w:snapToGrid w:val="0"/>
        <w:spacing w:line="360" w:lineRule="auto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lang w:bidi="ar"/>
        </w:rPr>
        <w:t>3. 质保期：</w:t>
      </w:r>
    </w:p>
    <w:p w14:paraId="7D0BD932">
      <w:pPr>
        <w:adjustRightInd w:val="0"/>
        <w:snapToGrid w:val="0"/>
        <w:spacing w:line="360" w:lineRule="auto"/>
        <w:ind w:firstLine="424" w:firstLineChars="177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设备安装调试并验收合格后，提供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年免费质保服务。质保期内，因设备自身质量问题产生的维修、零部件更换及技术服务均由供应方免费提供。质保期满后，继续提供长期技术支持及维修服务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。</w:t>
      </w:r>
    </w:p>
    <w:p w14:paraId="756FD887">
      <w:pPr>
        <w:adjustRightInd w:val="0"/>
        <w:snapToGrid w:val="0"/>
        <w:spacing w:line="360" w:lineRule="auto"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维修响应时间：</w:t>
      </w:r>
    </w:p>
    <w:p w14:paraId="5ED2A588">
      <w:pPr>
        <w:adjustRightInd w:val="0"/>
        <w:snapToGrid w:val="0"/>
        <w:spacing w:line="360" w:lineRule="auto"/>
        <w:ind w:firstLine="42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接到故障报告后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小时内予以电话响应，如无法通过电话解决故障，将在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48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小时内派工程师到现场解决问题，紧急情况可48小时到达现场。</w:t>
      </w:r>
    </w:p>
    <w:p w14:paraId="239012EA">
      <w:pPr>
        <w:spacing w:line="360" w:lineRule="auto"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5.</w:t>
      </w:r>
      <w:r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要求卖方提供的其它技术服务内容：</w:t>
      </w:r>
    </w:p>
    <w:p w14:paraId="52254139">
      <w:pPr>
        <w:spacing w:line="360" w:lineRule="auto"/>
        <w:ind w:firstLine="420"/>
        <w:rPr>
          <w:b/>
          <w:sz w:val="24"/>
        </w:rPr>
      </w:pPr>
      <w:r>
        <w:rPr>
          <w:rFonts w:hint="eastAsia"/>
          <w:sz w:val="24"/>
        </w:rPr>
        <w:t>硬件可原地升级更高级功能，无需返厂，软件终身免费升级。</w:t>
      </w:r>
    </w:p>
    <w:p w14:paraId="2A39CF75">
      <w:pPr>
        <w:spacing w:line="360" w:lineRule="auto"/>
        <w:rPr>
          <w:b/>
          <w:sz w:val="24"/>
        </w:rPr>
      </w:pPr>
    </w:p>
    <w:p w14:paraId="7A441A58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（三） 订货数量：</w:t>
      </w:r>
    </w:p>
    <w:p w14:paraId="21B39EBA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空气动力辅助离子化质谱成像系统, 1台</w:t>
      </w:r>
    </w:p>
    <w:p w14:paraId="38ECBBEF">
      <w:pPr>
        <w:spacing w:line="360" w:lineRule="auto"/>
        <w:rPr>
          <w:b/>
          <w:sz w:val="24"/>
        </w:rPr>
      </w:pPr>
    </w:p>
    <w:p w14:paraId="02DD09AF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（四）交货日期和交货地点（项目现场）：</w:t>
      </w:r>
    </w:p>
    <w:p w14:paraId="74C93651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交货日期：合同签订后3个月。</w:t>
      </w:r>
    </w:p>
    <w:p w14:paraId="6635C706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交货地点：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中国科学院生态环境研究中心密云的项目现场</w:t>
      </w:r>
    </w:p>
    <w:p w14:paraId="2F8E1C7F">
      <w:pPr>
        <w:spacing w:line="360" w:lineRule="auto"/>
        <w:rPr>
          <w:b/>
          <w:bCs/>
          <w:sz w:val="24"/>
        </w:rPr>
      </w:pPr>
    </w:p>
    <w:p w14:paraId="38211CDA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（五）付款方式：</w:t>
      </w:r>
    </w:p>
    <w:p w14:paraId="5267EFCA">
      <w:pPr>
        <w:spacing w:line="360" w:lineRule="auto"/>
        <w:ind w:firstLine="420"/>
        <w:rPr>
          <w:b/>
          <w:sz w:val="24"/>
        </w:rPr>
      </w:pPr>
      <w:r>
        <w:rPr>
          <w:rFonts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合同签订后，甲方向乙方支付合同金额的</w:t>
      </w:r>
      <w:r>
        <w:rPr>
          <w:rFonts w:hint="eastAsia"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6</w:t>
      </w:r>
      <w:r>
        <w:rPr>
          <w:rFonts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0%（需乙方向甲方提供相应金额银行保函</w:t>
      </w:r>
      <w:r>
        <w:rPr>
          <w:rFonts w:hint="eastAsia"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,验收合格后退还</w:t>
      </w:r>
      <w:r>
        <w:rPr>
          <w:rFonts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），安装调试完成后，乙方提交合同总额10%的质保金或等额质保函，凭采购人代表签字并加盖单位公章后的验收报告，乙方开具增值税专票，甲方向乙方支付合同金额的</w:t>
      </w:r>
      <w:r>
        <w:rPr>
          <w:rFonts w:hint="eastAsia"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rFonts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0%。质保金两年后解除</w:t>
      </w:r>
      <w:r>
        <w:rPr>
          <w:rFonts w:hint="eastAsia"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，</w:t>
      </w:r>
      <w:r>
        <w:rPr>
          <w:rFonts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无质量问题后无息返还质保金或解除保函。</w:t>
      </w:r>
    </w:p>
    <w:p w14:paraId="583A2DD8">
      <w:pPr>
        <w:spacing w:line="360" w:lineRule="auto"/>
        <w:rPr>
          <w:b/>
          <w:sz w:val="24"/>
        </w:rPr>
      </w:pPr>
    </w:p>
    <w:p w14:paraId="241A56C8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（六）执行的相关标准</w:t>
      </w:r>
    </w:p>
    <w:p w14:paraId="217FEAF5">
      <w:pPr>
        <w:spacing w:line="360" w:lineRule="auto"/>
        <w:ind w:firstLine="480"/>
        <w:rPr>
          <w:rFonts w:hint="eastAsia" w:ascii="inherit" w:hAnsi="inherit" w:cs="宋体"/>
          <w:kern w:val="0"/>
          <w:sz w:val="24"/>
        </w:rPr>
      </w:pPr>
      <w:r>
        <w:rPr>
          <w:rFonts w:hint="eastAsia" w:ascii="inherit" w:hAnsi="inherit" w:cs="宋体"/>
          <w:kern w:val="0"/>
          <w:sz w:val="24"/>
        </w:rPr>
        <w:t>产品应满足相关国家标准及行业标准</w:t>
      </w:r>
    </w:p>
    <w:p w14:paraId="22F6A8E5">
      <w:pPr>
        <w:adjustRightInd w:val="0"/>
        <w:snapToGrid w:val="0"/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3658A9A">
      <w:pPr>
        <w:adjustRightInd w:val="0"/>
        <w:snapToGrid w:val="0"/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（七）验收要求：</w:t>
      </w:r>
    </w:p>
    <w:bookmarkEnd w:id="1"/>
    <w:p w14:paraId="2F816469">
      <w:pPr>
        <w:adjustRightInd w:val="0"/>
        <w:snapToGrid w:val="0"/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★1.设备的配置、功能和技术实质性指标必须满足招标文件要求，所有技术指标必须能够现场验收或提供第三方机构的证明材料，投标商需在投标文件中提供完备的现场验收方案，</w:t>
      </w:r>
      <w:r>
        <w:rPr>
          <w:rFonts w:hint="eastAsia" w:ascii="宋体" w:hAnsi="宋体"/>
          <w:b/>
          <w:bCs/>
          <w:sz w:val="24"/>
        </w:rPr>
        <w:t>未提交现场验收方案将作为废标处理。</w:t>
      </w:r>
    </w:p>
    <w:p w14:paraId="11F5EF62">
      <w:pPr>
        <w:widowControl/>
        <w:adjustRightInd w:val="0"/>
        <w:snapToGrid w:val="0"/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2.技术指标现场验收方案科学、合理，具有可行性。</w:t>
      </w:r>
    </w:p>
    <w:p w14:paraId="52F8FC37">
      <w:pPr>
        <w:adjustRightInd w:val="0"/>
        <w:snapToGrid w:val="0"/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sz w:val="24"/>
        </w:rPr>
        <w:t>★</w:t>
      </w:r>
      <w:r>
        <w:rPr>
          <w:rFonts w:hint="eastAsia" w:ascii="宋体" w:hAnsi="宋体"/>
          <w:sz w:val="24"/>
        </w:rPr>
        <w:t>3.投标商需提供验收承诺函，承诺如下内容：如经检测验收所供货设备无法通过验收，技术指标、参数指标等不符合招标文件及/或采购合同约定标准的，视为根本违约，招标人除有权解除合同外，中标人应向招标人承担合同总金额30%的违约金，用以弥补招标人的损失。</w:t>
      </w:r>
    </w:p>
    <w:sectPr>
      <w:headerReference r:id="rId3" w:type="first"/>
      <w:footerReference r:id="rId5" w:type="first"/>
      <w:footerReference r:id="rId4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Malgun Gothic Semilight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FZShuSong-Z0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DejaVuSans-Bol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sNewRomanPSMT">
    <w:altName w:val="等线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ZSONGS--GB1-5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 of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2CD86D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4F313B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62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2214C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Q2ODBlYzc0NjRkMTZiZDAzOTQwZmVlNGQ5MmQwMDMifQ=="/>
  </w:docVars>
  <w:rsids>
    <w:rsidRoot w:val="00FA3835"/>
    <w:rsid w:val="000050A2"/>
    <w:rsid w:val="00017CDA"/>
    <w:rsid w:val="00027C8D"/>
    <w:rsid w:val="00040005"/>
    <w:rsid w:val="000543E7"/>
    <w:rsid w:val="0006010D"/>
    <w:rsid w:val="0006557B"/>
    <w:rsid w:val="000668DC"/>
    <w:rsid w:val="00081ADD"/>
    <w:rsid w:val="000969BB"/>
    <w:rsid w:val="000973D2"/>
    <w:rsid w:val="000B12EC"/>
    <w:rsid w:val="000B636A"/>
    <w:rsid w:val="000C1F98"/>
    <w:rsid w:val="000C325D"/>
    <w:rsid w:val="000C505C"/>
    <w:rsid w:val="000D1A3C"/>
    <w:rsid w:val="000E0B0C"/>
    <w:rsid w:val="000E17D4"/>
    <w:rsid w:val="000E4DA9"/>
    <w:rsid w:val="000F0512"/>
    <w:rsid w:val="000F4571"/>
    <w:rsid w:val="00103352"/>
    <w:rsid w:val="00105333"/>
    <w:rsid w:val="00107AF4"/>
    <w:rsid w:val="001140D0"/>
    <w:rsid w:val="00116F9B"/>
    <w:rsid w:val="001235CA"/>
    <w:rsid w:val="00130EDF"/>
    <w:rsid w:val="00136F3B"/>
    <w:rsid w:val="00137D93"/>
    <w:rsid w:val="00141D35"/>
    <w:rsid w:val="001437EA"/>
    <w:rsid w:val="001444BD"/>
    <w:rsid w:val="00144505"/>
    <w:rsid w:val="00144DDA"/>
    <w:rsid w:val="0014761F"/>
    <w:rsid w:val="00153F11"/>
    <w:rsid w:val="00154444"/>
    <w:rsid w:val="00154F47"/>
    <w:rsid w:val="00155A34"/>
    <w:rsid w:val="00164E27"/>
    <w:rsid w:val="0018672D"/>
    <w:rsid w:val="001921CA"/>
    <w:rsid w:val="00194900"/>
    <w:rsid w:val="001A0E56"/>
    <w:rsid w:val="001A6E63"/>
    <w:rsid w:val="001B195C"/>
    <w:rsid w:val="001B62CC"/>
    <w:rsid w:val="001B66E1"/>
    <w:rsid w:val="001B6E57"/>
    <w:rsid w:val="001C22AC"/>
    <w:rsid w:val="001D7301"/>
    <w:rsid w:val="001E1467"/>
    <w:rsid w:val="001E152C"/>
    <w:rsid w:val="001E3480"/>
    <w:rsid w:val="001F18B7"/>
    <w:rsid w:val="001F1D2B"/>
    <w:rsid w:val="001F5FAD"/>
    <w:rsid w:val="001F79B6"/>
    <w:rsid w:val="002024C7"/>
    <w:rsid w:val="00206639"/>
    <w:rsid w:val="00206D30"/>
    <w:rsid w:val="0021259E"/>
    <w:rsid w:val="00213C28"/>
    <w:rsid w:val="00224FE7"/>
    <w:rsid w:val="00225C33"/>
    <w:rsid w:val="002273BC"/>
    <w:rsid w:val="0023232E"/>
    <w:rsid w:val="00233C8A"/>
    <w:rsid w:val="00240E7B"/>
    <w:rsid w:val="00247ED0"/>
    <w:rsid w:val="00251DB7"/>
    <w:rsid w:val="002630C9"/>
    <w:rsid w:val="002672D1"/>
    <w:rsid w:val="00275598"/>
    <w:rsid w:val="002761A3"/>
    <w:rsid w:val="0028124D"/>
    <w:rsid w:val="00282A80"/>
    <w:rsid w:val="00282F14"/>
    <w:rsid w:val="002872A9"/>
    <w:rsid w:val="00292E0B"/>
    <w:rsid w:val="002B44BD"/>
    <w:rsid w:val="002B6E7A"/>
    <w:rsid w:val="002B7380"/>
    <w:rsid w:val="002C47B5"/>
    <w:rsid w:val="002D06FA"/>
    <w:rsid w:val="002D5C47"/>
    <w:rsid w:val="002D6107"/>
    <w:rsid w:val="002E03AA"/>
    <w:rsid w:val="002E34AD"/>
    <w:rsid w:val="002E6A76"/>
    <w:rsid w:val="002F1704"/>
    <w:rsid w:val="002F6DE0"/>
    <w:rsid w:val="002F6FCA"/>
    <w:rsid w:val="002F7EF8"/>
    <w:rsid w:val="002F7F80"/>
    <w:rsid w:val="00301191"/>
    <w:rsid w:val="00322611"/>
    <w:rsid w:val="003248D5"/>
    <w:rsid w:val="00326D72"/>
    <w:rsid w:val="0033189B"/>
    <w:rsid w:val="00334AA9"/>
    <w:rsid w:val="003442AE"/>
    <w:rsid w:val="0034443A"/>
    <w:rsid w:val="003474B8"/>
    <w:rsid w:val="00351CB8"/>
    <w:rsid w:val="00353E66"/>
    <w:rsid w:val="00357C16"/>
    <w:rsid w:val="003637C6"/>
    <w:rsid w:val="003732CC"/>
    <w:rsid w:val="00373B63"/>
    <w:rsid w:val="00374F9A"/>
    <w:rsid w:val="00382C0C"/>
    <w:rsid w:val="00391C02"/>
    <w:rsid w:val="003944C7"/>
    <w:rsid w:val="00397F24"/>
    <w:rsid w:val="003A298A"/>
    <w:rsid w:val="003B4F45"/>
    <w:rsid w:val="003B6193"/>
    <w:rsid w:val="003C172D"/>
    <w:rsid w:val="003C7092"/>
    <w:rsid w:val="003C785A"/>
    <w:rsid w:val="003D2B81"/>
    <w:rsid w:val="003E0C7C"/>
    <w:rsid w:val="003F5F7A"/>
    <w:rsid w:val="004043A2"/>
    <w:rsid w:val="00404EA5"/>
    <w:rsid w:val="00415144"/>
    <w:rsid w:val="00420D92"/>
    <w:rsid w:val="00421F2C"/>
    <w:rsid w:val="0042297A"/>
    <w:rsid w:val="00433C0B"/>
    <w:rsid w:val="004362C7"/>
    <w:rsid w:val="0044106E"/>
    <w:rsid w:val="00446E68"/>
    <w:rsid w:val="00447503"/>
    <w:rsid w:val="00457522"/>
    <w:rsid w:val="0046038A"/>
    <w:rsid w:val="00471176"/>
    <w:rsid w:val="00484FF8"/>
    <w:rsid w:val="004A0EB1"/>
    <w:rsid w:val="004A3B49"/>
    <w:rsid w:val="004A5C14"/>
    <w:rsid w:val="004B3476"/>
    <w:rsid w:val="004B36B8"/>
    <w:rsid w:val="004C387C"/>
    <w:rsid w:val="004D0AB9"/>
    <w:rsid w:val="004E042A"/>
    <w:rsid w:val="004E4504"/>
    <w:rsid w:val="004F0FDE"/>
    <w:rsid w:val="004F191B"/>
    <w:rsid w:val="004F3E07"/>
    <w:rsid w:val="005023D6"/>
    <w:rsid w:val="00504FD3"/>
    <w:rsid w:val="00512882"/>
    <w:rsid w:val="005143FF"/>
    <w:rsid w:val="00516FEB"/>
    <w:rsid w:val="005244F5"/>
    <w:rsid w:val="00524665"/>
    <w:rsid w:val="00543C0A"/>
    <w:rsid w:val="0054699B"/>
    <w:rsid w:val="00546BA1"/>
    <w:rsid w:val="005515EB"/>
    <w:rsid w:val="0055226E"/>
    <w:rsid w:val="00552E7C"/>
    <w:rsid w:val="005601D0"/>
    <w:rsid w:val="00560FEA"/>
    <w:rsid w:val="005613B2"/>
    <w:rsid w:val="0056304A"/>
    <w:rsid w:val="0057066D"/>
    <w:rsid w:val="00572671"/>
    <w:rsid w:val="00591688"/>
    <w:rsid w:val="005916DF"/>
    <w:rsid w:val="00595627"/>
    <w:rsid w:val="00595D3F"/>
    <w:rsid w:val="00595EAC"/>
    <w:rsid w:val="005A2F5B"/>
    <w:rsid w:val="005A52D6"/>
    <w:rsid w:val="005C574A"/>
    <w:rsid w:val="005D09A0"/>
    <w:rsid w:val="005D479D"/>
    <w:rsid w:val="005E416B"/>
    <w:rsid w:val="005E7A21"/>
    <w:rsid w:val="005F24B2"/>
    <w:rsid w:val="0060103A"/>
    <w:rsid w:val="00602911"/>
    <w:rsid w:val="00602A7A"/>
    <w:rsid w:val="0060509A"/>
    <w:rsid w:val="006125F5"/>
    <w:rsid w:val="00612A9B"/>
    <w:rsid w:val="00614D00"/>
    <w:rsid w:val="0061681D"/>
    <w:rsid w:val="006225E2"/>
    <w:rsid w:val="0062676A"/>
    <w:rsid w:val="00640DB1"/>
    <w:rsid w:val="006416E9"/>
    <w:rsid w:val="0064545D"/>
    <w:rsid w:val="00646C82"/>
    <w:rsid w:val="00647CD5"/>
    <w:rsid w:val="006548A6"/>
    <w:rsid w:val="00655478"/>
    <w:rsid w:val="00664D7F"/>
    <w:rsid w:val="00673641"/>
    <w:rsid w:val="006858B6"/>
    <w:rsid w:val="0069730F"/>
    <w:rsid w:val="006A377B"/>
    <w:rsid w:val="006B0930"/>
    <w:rsid w:val="006C4384"/>
    <w:rsid w:val="006C5135"/>
    <w:rsid w:val="006C546E"/>
    <w:rsid w:val="006D29F2"/>
    <w:rsid w:val="006E2DE0"/>
    <w:rsid w:val="006E5A8E"/>
    <w:rsid w:val="0070081C"/>
    <w:rsid w:val="0071653B"/>
    <w:rsid w:val="00721985"/>
    <w:rsid w:val="00724C84"/>
    <w:rsid w:val="007252A8"/>
    <w:rsid w:val="00725C0A"/>
    <w:rsid w:val="0073119D"/>
    <w:rsid w:val="0073199C"/>
    <w:rsid w:val="007376B0"/>
    <w:rsid w:val="00740508"/>
    <w:rsid w:val="00743776"/>
    <w:rsid w:val="00751428"/>
    <w:rsid w:val="00752FEF"/>
    <w:rsid w:val="0075674B"/>
    <w:rsid w:val="00761F2B"/>
    <w:rsid w:val="00763B74"/>
    <w:rsid w:val="007731D0"/>
    <w:rsid w:val="00775B16"/>
    <w:rsid w:val="00785A0A"/>
    <w:rsid w:val="00787CED"/>
    <w:rsid w:val="007967F8"/>
    <w:rsid w:val="007A0920"/>
    <w:rsid w:val="007A3772"/>
    <w:rsid w:val="007A7BB2"/>
    <w:rsid w:val="007B6DFC"/>
    <w:rsid w:val="007C2696"/>
    <w:rsid w:val="007C4C31"/>
    <w:rsid w:val="007C5EA5"/>
    <w:rsid w:val="007D381E"/>
    <w:rsid w:val="007D3EE2"/>
    <w:rsid w:val="007E03CA"/>
    <w:rsid w:val="007E6193"/>
    <w:rsid w:val="007F2F97"/>
    <w:rsid w:val="007F30CC"/>
    <w:rsid w:val="007F387D"/>
    <w:rsid w:val="007F7152"/>
    <w:rsid w:val="008156CB"/>
    <w:rsid w:val="008203E6"/>
    <w:rsid w:val="00822633"/>
    <w:rsid w:val="00830107"/>
    <w:rsid w:val="00831B02"/>
    <w:rsid w:val="00833174"/>
    <w:rsid w:val="00835158"/>
    <w:rsid w:val="00846609"/>
    <w:rsid w:val="00852958"/>
    <w:rsid w:val="0085467F"/>
    <w:rsid w:val="00864F77"/>
    <w:rsid w:val="008661F8"/>
    <w:rsid w:val="00867800"/>
    <w:rsid w:val="008712FA"/>
    <w:rsid w:val="00876AA9"/>
    <w:rsid w:val="00876EFF"/>
    <w:rsid w:val="00882892"/>
    <w:rsid w:val="00883AB2"/>
    <w:rsid w:val="008861B2"/>
    <w:rsid w:val="00887A5A"/>
    <w:rsid w:val="00896377"/>
    <w:rsid w:val="008A09F5"/>
    <w:rsid w:val="008A4B18"/>
    <w:rsid w:val="008A738C"/>
    <w:rsid w:val="008B2645"/>
    <w:rsid w:val="008C0305"/>
    <w:rsid w:val="008C20FE"/>
    <w:rsid w:val="008C36D3"/>
    <w:rsid w:val="008D0675"/>
    <w:rsid w:val="008D1425"/>
    <w:rsid w:val="008D2736"/>
    <w:rsid w:val="008D3BC8"/>
    <w:rsid w:val="008D6F23"/>
    <w:rsid w:val="008E383E"/>
    <w:rsid w:val="008E5EB5"/>
    <w:rsid w:val="008F04C7"/>
    <w:rsid w:val="008F21A5"/>
    <w:rsid w:val="008F2440"/>
    <w:rsid w:val="00914619"/>
    <w:rsid w:val="009202C8"/>
    <w:rsid w:val="009246BA"/>
    <w:rsid w:val="00930CDE"/>
    <w:rsid w:val="00935AA1"/>
    <w:rsid w:val="009451DC"/>
    <w:rsid w:val="009467F2"/>
    <w:rsid w:val="0095655E"/>
    <w:rsid w:val="00956752"/>
    <w:rsid w:val="00966DE4"/>
    <w:rsid w:val="009718ED"/>
    <w:rsid w:val="0097297B"/>
    <w:rsid w:val="0098154C"/>
    <w:rsid w:val="0098549E"/>
    <w:rsid w:val="009857EF"/>
    <w:rsid w:val="009941D8"/>
    <w:rsid w:val="009A2C18"/>
    <w:rsid w:val="009B36A1"/>
    <w:rsid w:val="009C0A0B"/>
    <w:rsid w:val="009C14BD"/>
    <w:rsid w:val="009D1AF8"/>
    <w:rsid w:val="009D32B1"/>
    <w:rsid w:val="009E1C84"/>
    <w:rsid w:val="009E32D4"/>
    <w:rsid w:val="009E4080"/>
    <w:rsid w:val="009E4DCB"/>
    <w:rsid w:val="009E580F"/>
    <w:rsid w:val="009F5A6A"/>
    <w:rsid w:val="00A01B3A"/>
    <w:rsid w:val="00A0205F"/>
    <w:rsid w:val="00A04E9D"/>
    <w:rsid w:val="00A06893"/>
    <w:rsid w:val="00A14987"/>
    <w:rsid w:val="00A21886"/>
    <w:rsid w:val="00A25682"/>
    <w:rsid w:val="00A2638C"/>
    <w:rsid w:val="00A27417"/>
    <w:rsid w:val="00A27AFD"/>
    <w:rsid w:val="00A354A8"/>
    <w:rsid w:val="00A4031E"/>
    <w:rsid w:val="00A4393F"/>
    <w:rsid w:val="00A44A2B"/>
    <w:rsid w:val="00A46F60"/>
    <w:rsid w:val="00A53234"/>
    <w:rsid w:val="00A56F9C"/>
    <w:rsid w:val="00A57F47"/>
    <w:rsid w:val="00A8225A"/>
    <w:rsid w:val="00AA029F"/>
    <w:rsid w:val="00AA7374"/>
    <w:rsid w:val="00AA7A0D"/>
    <w:rsid w:val="00AB113B"/>
    <w:rsid w:val="00AD2FD2"/>
    <w:rsid w:val="00AD41E6"/>
    <w:rsid w:val="00AD4ECF"/>
    <w:rsid w:val="00AD70C8"/>
    <w:rsid w:val="00AE094D"/>
    <w:rsid w:val="00AF6067"/>
    <w:rsid w:val="00B04039"/>
    <w:rsid w:val="00B07AAD"/>
    <w:rsid w:val="00B124B9"/>
    <w:rsid w:val="00B15273"/>
    <w:rsid w:val="00B16887"/>
    <w:rsid w:val="00B1746F"/>
    <w:rsid w:val="00B27A2B"/>
    <w:rsid w:val="00B31F00"/>
    <w:rsid w:val="00B351A2"/>
    <w:rsid w:val="00B41959"/>
    <w:rsid w:val="00B42C18"/>
    <w:rsid w:val="00B43CF7"/>
    <w:rsid w:val="00B44327"/>
    <w:rsid w:val="00B53944"/>
    <w:rsid w:val="00B61FDD"/>
    <w:rsid w:val="00B758E7"/>
    <w:rsid w:val="00B75B80"/>
    <w:rsid w:val="00B81149"/>
    <w:rsid w:val="00B8672D"/>
    <w:rsid w:val="00B94FB1"/>
    <w:rsid w:val="00BB4BE2"/>
    <w:rsid w:val="00BC7FBC"/>
    <w:rsid w:val="00BD11D6"/>
    <w:rsid w:val="00BD2A3B"/>
    <w:rsid w:val="00BD38FF"/>
    <w:rsid w:val="00BD646D"/>
    <w:rsid w:val="00BD6A33"/>
    <w:rsid w:val="00BD7ED0"/>
    <w:rsid w:val="00BE5E06"/>
    <w:rsid w:val="00BE643E"/>
    <w:rsid w:val="00BE7CED"/>
    <w:rsid w:val="00BF59BF"/>
    <w:rsid w:val="00C056B5"/>
    <w:rsid w:val="00C10630"/>
    <w:rsid w:val="00C12939"/>
    <w:rsid w:val="00C14E3B"/>
    <w:rsid w:val="00C23BA4"/>
    <w:rsid w:val="00C241B2"/>
    <w:rsid w:val="00C24609"/>
    <w:rsid w:val="00C27A10"/>
    <w:rsid w:val="00C34485"/>
    <w:rsid w:val="00C40AB3"/>
    <w:rsid w:val="00C43805"/>
    <w:rsid w:val="00C43E24"/>
    <w:rsid w:val="00C45235"/>
    <w:rsid w:val="00C54174"/>
    <w:rsid w:val="00C558E8"/>
    <w:rsid w:val="00C60EF2"/>
    <w:rsid w:val="00C615B2"/>
    <w:rsid w:val="00C630A8"/>
    <w:rsid w:val="00C702F0"/>
    <w:rsid w:val="00C74553"/>
    <w:rsid w:val="00C8112C"/>
    <w:rsid w:val="00C84C38"/>
    <w:rsid w:val="00C87EF4"/>
    <w:rsid w:val="00CA0EA5"/>
    <w:rsid w:val="00CA623E"/>
    <w:rsid w:val="00CA630F"/>
    <w:rsid w:val="00CB4EB2"/>
    <w:rsid w:val="00CB7A41"/>
    <w:rsid w:val="00CC50EC"/>
    <w:rsid w:val="00CC7A0B"/>
    <w:rsid w:val="00CD0A52"/>
    <w:rsid w:val="00CD0EEF"/>
    <w:rsid w:val="00CD49ED"/>
    <w:rsid w:val="00CD64CD"/>
    <w:rsid w:val="00CE2041"/>
    <w:rsid w:val="00CE3059"/>
    <w:rsid w:val="00CE4960"/>
    <w:rsid w:val="00CE56FA"/>
    <w:rsid w:val="00CE5B6F"/>
    <w:rsid w:val="00CF0912"/>
    <w:rsid w:val="00D0060C"/>
    <w:rsid w:val="00D027B8"/>
    <w:rsid w:val="00D04134"/>
    <w:rsid w:val="00D0571C"/>
    <w:rsid w:val="00D0679B"/>
    <w:rsid w:val="00D11879"/>
    <w:rsid w:val="00D12547"/>
    <w:rsid w:val="00D22D44"/>
    <w:rsid w:val="00D378BA"/>
    <w:rsid w:val="00D40668"/>
    <w:rsid w:val="00D60794"/>
    <w:rsid w:val="00D6263A"/>
    <w:rsid w:val="00D6312E"/>
    <w:rsid w:val="00D75701"/>
    <w:rsid w:val="00D778D7"/>
    <w:rsid w:val="00D80BB4"/>
    <w:rsid w:val="00D83934"/>
    <w:rsid w:val="00D83CBD"/>
    <w:rsid w:val="00D861C3"/>
    <w:rsid w:val="00D862C1"/>
    <w:rsid w:val="00D91A0C"/>
    <w:rsid w:val="00D9239C"/>
    <w:rsid w:val="00D95955"/>
    <w:rsid w:val="00D979AB"/>
    <w:rsid w:val="00DA590C"/>
    <w:rsid w:val="00DA703D"/>
    <w:rsid w:val="00DB54CF"/>
    <w:rsid w:val="00DC1546"/>
    <w:rsid w:val="00DC1A78"/>
    <w:rsid w:val="00DC4542"/>
    <w:rsid w:val="00DC74C4"/>
    <w:rsid w:val="00DD0BB9"/>
    <w:rsid w:val="00DD2172"/>
    <w:rsid w:val="00DD4A09"/>
    <w:rsid w:val="00DD4C25"/>
    <w:rsid w:val="00DD6A1F"/>
    <w:rsid w:val="00DE4C00"/>
    <w:rsid w:val="00DE5C67"/>
    <w:rsid w:val="00DF2449"/>
    <w:rsid w:val="00DF7ACF"/>
    <w:rsid w:val="00E004CA"/>
    <w:rsid w:val="00E03391"/>
    <w:rsid w:val="00E0373B"/>
    <w:rsid w:val="00E07308"/>
    <w:rsid w:val="00E14474"/>
    <w:rsid w:val="00E179B5"/>
    <w:rsid w:val="00E26286"/>
    <w:rsid w:val="00E30AC2"/>
    <w:rsid w:val="00E33B30"/>
    <w:rsid w:val="00E33D84"/>
    <w:rsid w:val="00E34813"/>
    <w:rsid w:val="00E356D2"/>
    <w:rsid w:val="00E401B3"/>
    <w:rsid w:val="00E458DA"/>
    <w:rsid w:val="00E5687E"/>
    <w:rsid w:val="00E639CC"/>
    <w:rsid w:val="00E63D5B"/>
    <w:rsid w:val="00E671AD"/>
    <w:rsid w:val="00E83E40"/>
    <w:rsid w:val="00E857B8"/>
    <w:rsid w:val="00E864FA"/>
    <w:rsid w:val="00E907E5"/>
    <w:rsid w:val="00E943B8"/>
    <w:rsid w:val="00EA11F7"/>
    <w:rsid w:val="00EA20B9"/>
    <w:rsid w:val="00EA4549"/>
    <w:rsid w:val="00ED0B37"/>
    <w:rsid w:val="00ED22DF"/>
    <w:rsid w:val="00ED4C66"/>
    <w:rsid w:val="00ED6781"/>
    <w:rsid w:val="00EE0323"/>
    <w:rsid w:val="00EE4BD8"/>
    <w:rsid w:val="00EF3685"/>
    <w:rsid w:val="00EF5BA0"/>
    <w:rsid w:val="00F13600"/>
    <w:rsid w:val="00F15FC0"/>
    <w:rsid w:val="00F17042"/>
    <w:rsid w:val="00F175D1"/>
    <w:rsid w:val="00F21DA9"/>
    <w:rsid w:val="00F22A75"/>
    <w:rsid w:val="00F3059E"/>
    <w:rsid w:val="00F30C1E"/>
    <w:rsid w:val="00F3185D"/>
    <w:rsid w:val="00F35217"/>
    <w:rsid w:val="00F35C50"/>
    <w:rsid w:val="00F37B8F"/>
    <w:rsid w:val="00F42D68"/>
    <w:rsid w:val="00F436FE"/>
    <w:rsid w:val="00F500D2"/>
    <w:rsid w:val="00F51A9D"/>
    <w:rsid w:val="00F56311"/>
    <w:rsid w:val="00F57792"/>
    <w:rsid w:val="00F60048"/>
    <w:rsid w:val="00F6185A"/>
    <w:rsid w:val="00F73FE2"/>
    <w:rsid w:val="00F74944"/>
    <w:rsid w:val="00F8497C"/>
    <w:rsid w:val="00F91E41"/>
    <w:rsid w:val="00FA238D"/>
    <w:rsid w:val="00FA3835"/>
    <w:rsid w:val="00FA6816"/>
    <w:rsid w:val="00FB5D79"/>
    <w:rsid w:val="00FE3D91"/>
    <w:rsid w:val="00FE55D2"/>
    <w:rsid w:val="00FF5179"/>
    <w:rsid w:val="00FF728E"/>
    <w:rsid w:val="020B291A"/>
    <w:rsid w:val="051B3A05"/>
    <w:rsid w:val="053E2C54"/>
    <w:rsid w:val="06F02823"/>
    <w:rsid w:val="0762073E"/>
    <w:rsid w:val="087F1C1E"/>
    <w:rsid w:val="09120680"/>
    <w:rsid w:val="09A45050"/>
    <w:rsid w:val="09FA1199"/>
    <w:rsid w:val="0A5B05D9"/>
    <w:rsid w:val="0ADF594B"/>
    <w:rsid w:val="0AE0030A"/>
    <w:rsid w:val="0BA90827"/>
    <w:rsid w:val="0C721436"/>
    <w:rsid w:val="0D4B4EF4"/>
    <w:rsid w:val="0D515D8F"/>
    <w:rsid w:val="0D6B0DE4"/>
    <w:rsid w:val="0D8A6F81"/>
    <w:rsid w:val="0E39045D"/>
    <w:rsid w:val="0E936CC2"/>
    <w:rsid w:val="0EE967FA"/>
    <w:rsid w:val="0F4075C9"/>
    <w:rsid w:val="0F4672D5"/>
    <w:rsid w:val="0F4E40DD"/>
    <w:rsid w:val="0F6F4465"/>
    <w:rsid w:val="10E279BE"/>
    <w:rsid w:val="122264FF"/>
    <w:rsid w:val="122E6778"/>
    <w:rsid w:val="124949E7"/>
    <w:rsid w:val="128B5428"/>
    <w:rsid w:val="13285904"/>
    <w:rsid w:val="13465DF0"/>
    <w:rsid w:val="139D57EB"/>
    <w:rsid w:val="15D708BB"/>
    <w:rsid w:val="15F52619"/>
    <w:rsid w:val="17CB6513"/>
    <w:rsid w:val="17E30CEE"/>
    <w:rsid w:val="185D6BC0"/>
    <w:rsid w:val="199030D2"/>
    <w:rsid w:val="19AE7309"/>
    <w:rsid w:val="1A18361C"/>
    <w:rsid w:val="1A902BB0"/>
    <w:rsid w:val="1B9E3D36"/>
    <w:rsid w:val="1BBA3A2F"/>
    <w:rsid w:val="1C686EB5"/>
    <w:rsid w:val="1C746B04"/>
    <w:rsid w:val="1C8F2A04"/>
    <w:rsid w:val="1D8B6157"/>
    <w:rsid w:val="20365C75"/>
    <w:rsid w:val="20485F2B"/>
    <w:rsid w:val="20863AF3"/>
    <w:rsid w:val="20FD3BD3"/>
    <w:rsid w:val="218B2C39"/>
    <w:rsid w:val="22597BF6"/>
    <w:rsid w:val="227819CB"/>
    <w:rsid w:val="23256975"/>
    <w:rsid w:val="23423424"/>
    <w:rsid w:val="23EA6B2E"/>
    <w:rsid w:val="240C4724"/>
    <w:rsid w:val="243F7370"/>
    <w:rsid w:val="24E93CA3"/>
    <w:rsid w:val="26053E04"/>
    <w:rsid w:val="26DD3CEE"/>
    <w:rsid w:val="27F05BD9"/>
    <w:rsid w:val="285745BD"/>
    <w:rsid w:val="2A8E004C"/>
    <w:rsid w:val="2B6A1BE2"/>
    <w:rsid w:val="2CB90995"/>
    <w:rsid w:val="2D5179CF"/>
    <w:rsid w:val="2ED5581D"/>
    <w:rsid w:val="2F25260C"/>
    <w:rsid w:val="308A097E"/>
    <w:rsid w:val="319039E6"/>
    <w:rsid w:val="32085AE3"/>
    <w:rsid w:val="327F0D3B"/>
    <w:rsid w:val="331A4758"/>
    <w:rsid w:val="3369385E"/>
    <w:rsid w:val="33CA23C6"/>
    <w:rsid w:val="341E482D"/>
    <w:rsid w:val="351101A8"/>
    <w:rsid w:val="35C0542C"/>
    <w:rsid w:val="372B2789"/>
    <w:rsid w:val="37CE32A7"/>
    <w:rsid w:val="384F06F9"/>
    <w:rsid w:val="395026E3"/>
    <w:rsid w:val="39A43A9C"/>
    <w:rsid w:val="3AC54CA3"/>
    <w:rsid w:val="3AE72E6B"/>
    <w:rsid w:val="3AFF33E8"/>
    <w:rsid w:val="3C2D3B80"/>
    <w:rsid w:val="3D476359"/>
    <w:rsid w:val="3D9A658C"/>
    <w:rsid w:val="3DE10046"/>
    <w:rsid w:val="3DEE1D80"/>
    <w:rsid w:val="3DF338D5"/>
    <w:rsid w:val="3EA378DA"/>
    <w:rsid w:val="3EF73899"/>
    <w:rsid w:val="3F651E10"/>
    <w:rsid w:val="3F6F78D3"/>
    <w:rsid w:val="401569DE"/>
    <w:rsid w:val="41DF7AED"/>
    <w:rsid w:val="426C16E4"/>
    <w:rsid w:val="43D85920"/>
    <w:rsid w:val="442F62DC"/>
    <w:rsid w:val="443B5FD6"/>
    <w:rsid w:val="459220B9"/>
    <w:rsid w:val="46DB7A17"/>
    <w:rsid w:val="48333FF5"/>
    <w:rsid w:val="485E6BC5"/>
    <w:rsid w:val="48E62910"/>
    <w:rsid w:val="49FA5FEB"/>
    <w:rsid w:val="4A3E0C6F"/>
    <w:rsid w:val="4B914BF5"/>
    <w:rsid w:val="4C7D3400"/>
    <w:rsid w:val="4CB230FF"/>
    <w:rsid w:val="4D413CB4"/>
    <w:rsid w:val="4EE564B0"/>
    <w:rsid w:val="4F3512E0"/>
    <w:rsid w:val="4F8D414D"/>
    <w:rsid w:val="4FFC159D"/>
    <w:rsid w:val="51CD3614"/>
    <w:rsid w:val="522400A9"/>
    <w:rsid w:val="531539E5"/>
    <w:rsid w:val="53D55AFF"/>
    <w:rsid w:val="53FC6986"/>
    <w:rsid w:val="54A60BE9"/>
    <w:rsid w:val="559A7000"/>
    <w:rsid w:val="5628185A"/>
    <w:rsid w:val="56770AFB"/>
    <w:rsid w:val="573C6F55"/>
    <w:rsid w:val="57D63A28"/>
    <w:rsid w:val="57F95C42"/>
    <w:rsid w:val="581B6CF3"/>
    <w:rsid w:val="58527420"/>
    <w:rsid w:val="585F0652"/>
    <w:rsid w:val="591A5625"/>
    <w:rsid w:val="5980136F"/>
    <w:rsid w:val="59DD58A1"/>
    <w:rsid w:val="5AE900E2"/>
    <w:rsid w:val="5C7F1F93"/>
    <w:rsid w:val="5D89084C"/>
    <w:rsid w:val="5E72647F"/>
    <w:rsid w:val="5E834DD9"/>
    <w:rsid w:val="5F236DE7"/>
    <w:rsid w:val="5FEE7E35"/>
    <w:rsid w:val="608E3660"/>
    <w:rsid w:val="614C50B2"/>
    <w:rsid w:val="617B7B59"/>
    <w:rsid w:val="620B4DE2"/>
    <w:rsid w:val="621505DC"/>
    <w:rsid w:val="625D22A8"/>
    <w:rsid w:val="62914838"/>
    <w:rsid w:val="63025693"/>
    <w:rsid w:val="64187FBF"/>
    <w:rsid w:val="648D7D30"/>
    <w:rsid w:val="657340D8"/>
    <w:rsid w:val="65C0401D"/>
    <w:rsid w:val="662648F8"/>
    <w:rsid w:val="665F1537"/>
    <w:rsid w:val="67D85B6C"/>
    <w:rsid w:val="68ED6A71"/>
    <w:rsid w:val="69317B0A"/>
    <w:rsid w:val="69F67FAD"/>
    <w:rsid w:val="6A9734A6"/>
    <w:rsid w:val="6BFA67BA"/>
    <w:rsid w:val="6C67192F"/>
    <w:rsid w:val="6CE60189"/>
    <w:rsid w:val="6E04301E"/>
    <w:rsid w:val="6F135C55"/>
    <w:rsid w:val="6F215C44"/>
    <w:rsid w:val="6F5A2F04"/>
    <w:rsid w:val="6FDA0E9E"/>
    <w:rsid w:val="72FE2139"/>
    <w:rsid w:val="732820F7"/>
    <w:rsid w:val="734D446A"/>
    <w:rsid w:val="740972B4"/>
    <w:rsid w:val="746B0D64"/>
    <w:rsid w:val="74C80B12"/>
    <w:rsid w:val="759B0467"/>
    <w:rsid w:val="774A1FD3"/>
    <w:rsid w:val="77FE4FE3"/>
    <w:rsid w:val="78C830A0"/>
    <w:rsid w:val="78D36201"/>
    <w:rsid w:val="792F1A3C"/>
    <w:rsid w:val="793270FF"/>
    <w:rsid w:val="79B5177D"/>
    <w:rsid w:val="79CD520C"/>
    <w:rsid w:val="7A463EB9"/>
    <w:rsid w:val="7A8377B3"/>
    <w:rsid w:val="7AB91175"/>
    <w:rsid w:val="7CD608CD"/>
    <w:rsid w:val="7D9D4043"/>
    <w:rsid w:val="7E9D0BC6"/>
    <w:rsid w:val="7F8942DD"/>
    <w:rsid w:val="7FD2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0">
    <w:name w:val="Default Paragraph Font"/>
    <w:semiHidden/>
    <w:unhideWhenUsed/>
    <w:qFormat/>
    <w:uiPriority w:val="1"/>
  </w:style>
  <w:style w:type="table" w:default="1" w:styleId="3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toc 7"/>
    <w:basedOn w:val="1"/>
    <w:next w:val="1"/>
    <w:qFormat/>
    <w:uiPriority w:val="0"/>
    <w:pPr>
      <w:ind w:left="2520" w:leftChars="1200"/>
    </w:pPr>
    <w:rPr>
      <w:rFonts w:ascii="Cambria" w:hAnsi="Cambria"/>
      <w:szCs w:val="21"/>
    </w:rPr>
  </w:style>
  <w:style w:type="paragraph" w:styleId="13">
    <w:name w:val="Document Map"/>
    <w:basedOn w:val="1"/>
    <w:semiHidden/>
    <w:qFormat/>
    <w:uiPriority w:val="0"/>
    <w:pPr>
      <w:shd w:val="clear" w:color="auto" w:fill="000080"/>
    </w:pPr>
  </w:style>
  <w:style w:type="paragraph" w:styleId="14">
    <w:name w:val="annotation text"/>
    <w:basedOn w:val="1"/>
    <w:link w:val="47"/>
    <w:qFormat/>
    <w:uiPriority w:val="99"/>
    <w:pPr>
      <w:jc w:val="left"/>
    </w:pPr>
    <w:rPr>
      <w:rFonts w:ascii="Cambria" w:hAnsi="Cambria"/>
      <w:szCs w:val="21"/>
    </w:rPr>
  </w:style>
  <w:style w:type="paragraph" w:styleId="15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6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7">
    <w:name w:val="Body Text Indent"/>
    <w:basedOn w:val="1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ind w:left="1680" w:leftChars="800"/>
    </w:pPr>
    <w:rPr>
      <w:rFonts w:ascii="Cambria" w:hAnsi="Cambria"/>
      <w:szCs w:val="21"/>
    </w:rPr>
  </w:style>
  <w:style w:type="paragraph" w:styleId="19">
    <w:name w:val="toc 3"/>
    <w:basedOn w:val="1"/>
    <w:next w:val="1"/>
    <w:qFormat/>
    <w:uiPriority w:val="0"/>
    <w:pPr>
      <w:ind w:left="840" w:leftChars="400"/>
    </w:pPr>
    <w:rPr>
      <w:rFonts w:ascii="Cambria" w:hAnsi="Cambria"/>
      <w:szCs w:val="21"/>
    </w:rPr>
  </w:style>
  <w:style w:type="paragraph" w:styleId="20">
    <w:name w:val="Plain Text"/>
    <w:basedOn w:val="1"/>
    <w:link w:val="48"/>
    <w:qFormat/>
    <w:uiPriority w:val="99"/>
    <w:rPr>
      <w:rFonts w:ascii="宋体" w:hAnsi="Courier New"/>
      <w:szCs w:val="20"/>
    </w:rPr>
  </w:style>
  <w:style w:type="paragraph" w:styleId="21">
    <w:name w:val="toc 8"/>
    <w:basedOn w:val="1"/>
    <w:next w:val="1"/>
    <w:qFormat/>
    <w:uiPriority w:val="0"/>
    <w:pPr>
      <w:ind w:left="2940" w:leftChars="1400"/>
    </w:pPr>
    <w:rPr>
      <w:rFonts w:ascii="Cambria" w:hAnsi="Cambria"/>
      <w:szCs w:val="21"/>
    </w:rPr>
  </w:style>
  <w:style w:type="paragraph" w:styleId="22">
    <w:name w:val="Date"/>
    <w:basedOn w:val="1"/>
    <w:next w:val="1"/>
    <w:link w:val="49"/>
    <w:qFormat/>
    <w:uiPriority w:val="0"/>
    <w:rPr>
      <w:szCs w:val="20"/>
    </w:rPr>
  </w:style>
  <w:style w:type="paragraph" w:styleId="23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5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5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9061"/>
      </w:tabs>
    </w:pPr>
    <w:rPr>
      <w:rFonts w:ascii="仿宋_GB2312" w:hAnsi="宋体" w:eastAsia="仿宋_GB2312" w:cs="仿宋_GB2312"/>
      <w:color w:val="000000"/>
      <w:szCs w:val="21"/>
    </w:rPr>
  </w:style>
  <w:style w:type="paragraph" w:styleId="28">
    <w:name w:val="toc 4"/>
    <w:basedOn w:val="1"/>
    <w:next w:val="1"/>
    <w:qFormat/>
    <w:uiPriority w:val="0"/>
    <w:pPr>
      <w:ind w:left="1260" w:leftChars="600"/>
    </w:pPr>
    <w:rPr>
      <w:rFonts w:ascii="Cambria" w:hAnsi="Cambria"/>
      <w:szCs w:val="21"/>
    </w:rPr>
  </w:style>
  <w:style w:type="paragraph" w:styleId="29">
    <w:name w:val="toc 6"/>
    <w:basedOn w:val="1"/>
    <w:next w:val="1"/>
    <w:qFormat/>
    <w:uiPriority w:val="0"/>
    <w:pPr>
      <w:ind w:left="2100" w:leftChars="1000"/>
    </w:pPr>
    <w:rPr>
      <w:rFonts w:ascii="Cambria" w:hAnsi="Cambria"/>
      <w:szCs w:val="21"/>
    </w:rPr>
  </w:style>
  <w:style w:type="paragraph" w:styleId="30">
    <w:name w:val="Body Text Indent 3"/>
    <w:basedOn w:val="1"/>
    <w:link w:val="52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mbria" w:cs="宋体"/>
      <w:kern w:val="0"/>
      <w:sz w:val="24"/>
    </w:rPr>
  </w:style>
  <w:style w:type="paragraph" w:styleId="31">
    <w:name w:val="toc 2"/>
    <w:basedOn w:val="1"/>
    <w:next w:val="1"/>
    <w:qFormat/>
    <w:uiPriority w:val="0"/>
    <w:pPr>
      <w:spacing w:before="120" w:line="360" w:lineRule="auto"/>
    </w:pPr>
    <w:rPr>
      <w:rFonts w:ascii="仿宋_GB2312" w:hAnsi="宋体" w:eastAsia="仿宋_GB2312" w:cs="仿宋_GB2312"/>
      <w:b/>
      <w:bCs/>
      <w:sz w:val="24"/>
    </w:rPr>
  </w:style>
  <w:style w:type="paragraph" w:styleId="32">
    <w:name w:val="toc 9"/>
    <w:basedOn w:val="1"/>
    <w:next w:val="1"/>
    <w:qFormat/>
    <w:uiPriority w:val="0"/>
    <w:pPr>
      <w:ind w:left="3360" w:leftChars="1600"/>
    </w:pPr>
    <w:rPr>
      <w:rFonts w:ascii="Cambria" w:hAnsi="Cambria"/>
      <w:szCs w:val="21"/>
    </w:rPr>
  </w:style>
  <w:style w:type="paragraph" w:styleId="33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3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35">
    <w:name w:val="index 1"/>
    <w:basedOn w:val="1"/>
    <w:next w:val="1"/>
    <w:qFormat/>
    <w:uiPriority w:val="0"/>
    <w:rPr>
      <w:rFonts w:ascii="Cambria" w:hAnsi="Cambria"/>
      <w:szCs w:val="21"/>
    </w:rPr>
  </w:style>
  <w:style w:type="paragraph" w:styleId="36">
    <w:name w:val="Title"/>
    <w:basedOn w:val="1"/>
    <w:qFormat/>
    <w:uiPriority w:val="0"/>
    <w:pPr>
      <w:jc w:val="center"/>
    </w:pPr>
    <w:rPr>
      <w:sz w:val="30"/>
    </w:rPr>
  </w:style>
  <w:style w:type="paragraph" w:styleId="37">
    <w:name w:val="annotation subject"/>
    <w:basedOn w:val="14"/>
    <w:next w:val="14"/>
    <w:link w:val="53"/>
    <w:qFormat/>
    <w:uiPriority w:val="0"/>
    <w:rPr>
      <w:rFonts w:ascii="Times New Roman" w:hAnsi="Times New Roman"/>
      <w:b/>
      <w:bCs/>
      <w:szCs w:val="24"/>
    </w:rPr>
  </w:style>
  <w:style w:type="table" w:styleId="39">
    <w:name w:val="Table Grid"/>
    <w:basedOn w:val="3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1">
    <w:name w:val="Strong"/>
    <w:qFormat/>
    <w:uiPriority w:val="22"/>
    <w:rPr>
      <w:b/>
      <w:bCs/>
    </w:rPr>
  </w:style>
  <w:style w:type="character" w:styleId="42">
    <w:name w:val="page number"/>
    <w:qFormat/>
    <w:uiPriority w:val="0"/>
  </w:style>
  <w:style w:type="character" w:styleId="43">
    <w:name w:val="FollowedHyperlink"/>
    <w:qFormat/>
    <w:uiPriority w:val="0"/>
    <w:rPr>
      <w:color w:val="800080"/>
      <w:u w:val="single"/>
    </w:rPr>
  </w:style>
  <w:style w:type="character" w:styleId="44">
    <w:name w:val="Emphasis"/>
    <w:qFormat/>
    <w:uiPriority w:val="20"/>
    <w:rPr>
      <w:i/>
      <w:iCs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99"/>
    <w:rPr>
      <w:sz w:val="21"/>
      <w:szCs w:val="21"/>
    </w:rPr>
  </w:style>
  <w:style w:type="character" w:customStyle="1" w:styleId="47">
    <w:name w:val="批注文字 字符"/>
    <w:link w:val="14"/>
    <w:qFormat/>
    <w:uiPriority w:val="99"/>
    <w:rPr>
      <w:rFonts w:ascii="Cambria" w:hAnsi="Cambria"/>
      <w:kern w:val="2"/>
      <w:sz w:val="21"/>
      <w:szCs w:val="21"/>
    </w:rPr>
  </w:style>
  <w:style w:type="character" w:customStyle="1" w:styleId="48">
    <w:name w:val="纯文本 字符"/>
    <w:link w:val="20"/>
    <w:qFormat/>
    <w:uiPriority w:val="99"/>
    <w:rPr>
      <w:rFonts w:ascii="宋体" w:hAnsi="Courier New"/>
      <w:kern w:val="2"/>
      <w:sz w:val="21"/>
    </w:rPr>
  </w:style>
  <w:style w:type="character" w:customStyle="1" w:styleId="49">
    <w:name w:val="日期 字符"/>
    <w:link w:val="22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50">
    <w:name w:val="页脚 字符"/>
    <w:link w:val="25"/>
    <w:qFormat/>
    <w:uiPriority w:val="99"/>
    <w:rPr>
      <w:kern w:val="2"/>
      <w:sz w:val="18"/>
      <w:szCs w:val="18"/>
    </w:rPr>
  </w:style>
  <w:style w:type="character" w:customStyle="1" w:styleId="51">
    <w:name w:val="页眉 字符"/>
    <w:link w:val="26"/>
    <w:qFormat/>
    <w:uiPriority w:val="0"/>
    <w:rPr>
      <w:kern w:val="2"/>
      <w:sz w:val="18"/>
      <w:szCs w:val="18"/>
    </w:rPr>
  </w:style>
  <w:style w:type="character" w:customStyle="1" w:styleId="52">
    <w:name w:val="正文文本缩进 3 字符"/>
    <w:link w:val="30"/>
    <w:qFormat/>
    <w:uiPriority w:val="0"/>
    <w:rPr>
      <w:rFonts w:ascii="宋体" w:hAnsi="Cambria" w:cs="宋体"/>
      <w:sz w:val="24"/>
      <w:szCs w:val="24"/>
    </w:rPr>
  </w:style>
  <w:style w:type="character" w:customStyle="1" w:styleId="53">
    <w:name w:val="批注主题 字符"/>
    <w:link w:val="37"/>
    <w:qFormat/>
    <w:uiPriority w:val="0"/>
    <w:rPr>
      <w:rFonts w:ascii="Cambria" w:hAnsi="Cambria"/>
      <w:b/>
      <w:bCs/>
      <w:kern w:val="2"/>
      <w:sz w:val="21"/>
      <w:szCs w:val="24"/>
    </w:rPr>
  </w:style>
  <w:style w:type="character" w:customStyle="1" w:styleId="54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5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56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57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58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59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60">
    <w:name w:val="Char2"/>
    <w:qFormat/>
    <w:uiPriority w:val="0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customStyle="1" w:styleId="61">
    <w:name w:val="标题1"/>
    <w:basedOn w:val="36"/>
    <w:qFormat/>
    <w:uiPriority w:val="0"/>
    <w:pPr>
      <w:spacing w:before="240" w:after="240"/>
      <w:outlineLvl w:val="0"/>
    </w:pPr>
    <w:rPr>
      <w:rFonts w:ascii="Arial" w:hAnsi="Arial" w:cs="Arial"/>
      <w:b/>
      <w:bCs/>
      <w:spacing w:val="2"/>
      <w:sz w:val="44"/>
      <w:szCs w:val="44"/>
    </w:rPr>
  </w:style>
  <w:style w:type="paragraph" w:customStyle="1" w:styleId="62">
    <w:name w:val="附录标题3"/>
    <w:basedOn w:val="1"/>
    <w:next w:val="4"/>
    <w:qFormat/>
    <w:uiPriority w:val="0"/>
    <w:pPr>
      <w:tabs>
        <w:tab w:val="left" w:pos="1080"/>
        <w:tab w:val="left" w:pos="2880"/>
      </w:tabs>
      <w:ind w:left="2880" w:hanging="720"/>
      <w:outlineLvl w:val="0"/>
    </w:pPr>
    <w:rPr>
      <w:rFonts w:ascii="Arial" w:hAnsi="Arial" w:cs="Arial"/>
      <w:sz w:val="24"/>
    </w:rPr>
  </w:style>
  <w:style w:type="paragraph" w:customStyle="1" w:styleId="63">
    <w:name w:val="样式"/>
    <w:basedOn w:val="1"/>
    <w:next w:val="20"/>
    <w:qFormat/>
    <w:uiPriority w:val="0"/>
    <w:rPr>
      <w:rFonts w:ascii="宋体" w:hAnsi="Courier New" w:cs="宋体"/>
      <w:szCs w:val="21"/>
    </w:rPr>
  </w:style>
  <w:style w:type="paragraph" w:customStyle="1" w:styleId="64">
    <w:name w:val="Char1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5">
    <w:name w:val="Char Char Char Char"/>
    <w:basedOn w:val="1"/>
    <w:qFormat/>
    <w:uiPriority w:val="0"/>
    <w:pPr>
      <w:spacing w:after="160" w:line="240" w:lineRule="exact"/>
    </w:pPr>
    <w:rPr>
      <w:rFonts w:ascii="Cambria" w:hAnsi="Cambria"/>
      <w:szCs w:val="21"/>
    </w:rPr>
  </w:style>
  <w:style w:type="paragraph" w:customStyle="1" w:styleId="66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7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  <w:style w:type="table" w:customStyle="1" w:styleId="68">
    <w:name w:val="Table Normal"/>
    <w:unhideWhenUsed/>
    <w:qFormat/>
    <w:uiPriority w:val="2"/>
    <w:pPr>
      <w:widowControl w:val="0"/>
      <w:autoSpaceDE w:val="0"/>
      <w:autoSpaceDN w:val="0"/>
    </w:pPr>
    <w:rPr>
      <w:rFonts w:ascii="Cambria" w:hAnsi="Cambria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9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70">
    <w:name w:val="xl25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Cs w:val="21"/>
    </w:rPr>
  </w:style>
  <w:style w:type="paragraph" w:customStyle="1" w:styleId="71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customStyle="1" w:styleId="72">
    <w:name w:val="_Style 7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3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7</Pages>
  <Words>32185</Words>
  <Characters>34608</Characters>
  <Lines>1538</Lines>
  <Paragraphs>1407</Paragraphs>
  <TotalTime>4</TotalTime>
  <ScaleCrop>false</ScaleCrop>
  <LinksUpToDate>false</LinksUpToDate>
  <CharactersWithSpaces>36990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2026-08-12T09:25:00Z</dcterms:created>
  <dc:creator>caowuning</dc:creator>
  <cp:lastModifiedBy>冀松阳</cp:lastModifiedBy>
  <cp:lastPrinted>2009-04-21T09:03:00Z</cp:lastPrinted>
  <dcterms:modified xsi:type="dcterms:W3CDTF">2026-08-12T14:44:49Z</dcterms:modified>
  <dc:title>北 京 市 政 府 采 购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3DAFA1B7577E428C920F1FDA93ECDFF8_13</vt:lpwstr>
  </property>
  <property fmtid="{D5CDD505-2E9C-101B-9397-08002B2CF9AE}" pid="4" name="KSOTemplateDocerSaveRecord">
    <vt:lpwstr>eyJoZGlkIjoiMzFjNjU4MWEwNDY1ZWUwYTVmYzA4MjhmNDQ4ZDJhYWUiLCJ1c2VySWQiOiIxMDI1MTk0NTMzIn0=</vt:lpwstr>
  </property>
</Properties>
</file>